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BDFD2" w14:textId="77777777" w:rsidR="005150D9" w:rsidRPr="00121667" w:rsidRDefault="00000000" w:rsidP="00121667">
      <w:pPr>
        <w:pStyle w:val="NoSpacing"/>
      </w:pPr>
      <w:r w:rsidRPr="00121667">
        <w:t>CANADIAN SELF STORAGE ASSOCIATION</w:t>
      </w:r>
    </w:p>
    <w:p w14:paraId="27464731" w14:textId="6C0961F8" w:rsidR="005150D9" w:rsidRPr="00121667" w:rsidRDefault="00000000">
      <w:pPr>
        <w:spacing w:after="40"/>
        <w:rPr>
          <w:rFonts w:ascii="Arial" w:hAnsi="Arial" w:cs="Arial"/>
          <w:sz w:val="22"/>
          <w:szCs w:val="22"/>
        </w:rPr>
      </w:pPr>
      <w:r w:rsidRPr="00121667">
        <w:rPr>
          <w:rFonts w:ascii="Arial" w:hAnsi="Arial" w:cs="Arial"/>
          <w:b/>
          <w:bCs/>
          <w:color w:val="5A6B7B"/>
          <w:sz w:val="22"/>
          <w:szCs w:val="22"/>
        </w:rPr>
        <w:t xml:space="preserve">MEMBER </w:t>
      </w:r>
      <w:r w:rsidR="00121667" w:rsidRPr="00121667">
        <w:rPr>
          <w:rFonts w:ascii="Arial" w:hAnsi="Arial" w:cs="Arial"/>
          <w:b/>
          <w:bCs/>
          <w:color w:val="5A6B7B"/>
          <w:sz w:val="22"/>
          <w:szCs w:val="22"/>
        </w:rPr>
        <w:t>GUIDANCE • COMPLIANCE</w:t>
      </w:r>
      <w:r w:rsidRPr="00121667">
        <w:rPr>
          <w:rFonts w:ascii="Arial" w:hAnsi="Arial" w:cs="Arial"/>
          <w:b/>
          <w:bCs/>
          <w:color w:val="5A6B7B"/>
          <w:sz w:val="22"/>
          <w:szCs w:val="22"/>
        </w:rPr>
        <w:t xml:space="preserve"> WHITE PAPER</w:t>
      </w:r>
    </w:p>
    <w:p w14:paraId="4E25FCB7" w14:textId="77777777" w:rsidR="005150D9" w:rsidRPr="00121667" w:rsidRDefault="005150D9">
      <w:pPr>
        <w:pBdr>
          <w:bottom w:val="single" w:sz="14" w:space="0" w:color="1F3A5F"/>
        </w:pBdr>
        <w:spacing w:before="40" w:after="40"/>
        <w:rPr>
          <w:rFonts w:ascii="Arial" w:hAnsi="Arial" w:cs="Arial"/>
          <w:sz w:val="22"/>
          <w:szCs w:val="22"/>
        </w:rPr>
      </w:pPr>
    </w:p>
    <w:p w14:paraId="225CD11F" w14:textId="77777777" w:rsidR="005150D9" w:rsidRPr="00D02C25" w:rsidRDefault="00000000">
      <w:pPr>
        <w:spacing w:before="220" w:after="60"/>
        <w:rPr>
          <w:rFonts w:ascii="Arial" w:hAnsi="Arial" w:cs="Arial"/>
          <w:color w:val="000000" w:themeColor="text1"/>
          <w:sz w:val="22"/>
          <w:szCs w:val="22"/>
        </w:rPr>
      </w:pPr>
      <w:r w:rsidRPr="00D02C25">
        <w:rPr>
          <w:rFonts w:ascii="Arial" w:eastAsia="Georgia" w:hAnsi="Arial" w:cs="Arial"/>
          <w:b/>
          <w:bCs/>
          <w:color w:val="000000" w:themeColor="text1"/>
          <w:sz w:val="22"/>
          <w:szCs w:val="22"/>
        </w:rPr>
        <w:t>Drip Pricing and Price Disclosure in Canada</w:t>
      </w:r>
    </w:p>
    <w:p w14:paraId="5DCF6787" w14:textId="65553327" w:rsidR="005150D9" w:rsidRPr="00D02C25" w:rsidRDefault="00000000">
      <w:pPr>
        <w:spacing w:after="400"/>
        <w:rPr>
          <w:rFonts w:ascii="Arial" w:hAnsi="Arial" w:cs="Arial"/>
          <w:color w:val="000000" w:themeColor="text1"/>
          <w:sz w:val="22"/>
          <w:szCs w:val="22"/>
        </w:rPr>
      </w:pPr>
      <w:r w:rsidRPr="00D02C25">
        <w:rPr>
          <w:rFonts w:ascii="Arial" w:eastAsia="Georgia" w:hAnsi="Arial" w:cs="Arial"/>
          <w:i/>
          <w:iCs/>
          <w:color w:val="000000" w:themeColor="text1"/>
          <w:sz w:val="22"/>
          <w:szCs w:val="22"/>
        </w:rPr>
        <w:t xml:space="preserve">What the Competition Act and provincial law </w:t>
      </w:r>
      <w:r w:rsidR="00121667" w:rsidRPr="00D02C25">
        <w:rPr>
          <w:rFonts w:ascii="Arial" w:eastAsia="Georgia" w:hAnsi="Arial" w:cs="Arial"/>
          <w:i/>
          <w:iCs/>
          <w:color w:val="000000" w:themeColor="text1"/>
          <w:sz w:val="22"/>
          <w:szCs w:val="22"/>
        </w:rPr>
        <w:t>may</w:t>
      </w:r>
      <w:r w:rsidRPr="00D02C25">
        <w:rPr>
          <w:rFonts w:ascii="Arial" w:eastAsia="Georgia" w:hAnsi="Arial" w:cs="Arial"/>
          <w:i/>
          <w:iCs/>
          <w:color w:val="000000" w:themeColor="text1"/>
          <w:sz w:val="22"/>
          <w:szCs w:val="22"/>
        </w:rPr>
        <w:t xml:space="preserve"> require of </w:t>
      </w:r>
      <w:proofErr w:type="spellStart"/>
      <w:r w:rsidRPr="00D02C25">
        <w:rPr>
          <w:rFonts w:ascii="Arial" w:eastAsia="Georgia" w:hAnsi="Arial" w:cs="Arial"/>
          <w:i/>
          <w:iCs/>
          <w:color w:val="000000" w:themeColor="text1"/>
          <w:sz w:val="22"/>
          <w:szCs w:val="22"/>
        </w:rPr>
        <w:t>self</w:t>
      </w:r>
      <w:r w:rsidR="00121667" w:rsidRPr="00D02C25">
        <w:rPr>
          <w:rFonts w:ascii="Arial" w:eastAsia="Georgia" w:hAnsi="Arial" w:cs="Arial"/>
          <w:i/>
          <w:iCs/>
          <w:color w:val="000000" w:themeColor="text1"/>
          <w:sz w:val="22"/>
          <w:szCs w:val="22"/>
        </w:rPr>
        <w:t xml:space="preserve"> </w:t>
      </w:r>
      <w:r w:rsidRPr="00D02C25">
        <w:rPr>
          <w:rFonts w:ascii="Arial" w:eastAsia="Georgia" w:hAnsi="Arial" w:cs="Arial"/>
          <w:i/>
          <w:iCs/>
          <w:color w:val="000000" w:themeColor="text1"/>
          <w:sz w:val="22"/>
          <w:szCs w:val="22"/>
        </w:rPr>
        <w:t>storage</w:t>
      </w:r>
      <w:proofErr w:type="spellEnd"/>
      <w:r w:rsidRPr="00D02C25">
        <w:rPr>
          <w:rFonts w:ascii="Arial" w:eastAsia="Georgia" w:hAnsi="Arial" w:cs="Arial"/>
          <w:i/>
          <w:iCs/>
          <w:color w:val="000000" w:themeColor="text1"/>
          <w:sz w:val="22"/>
          <w:szCs w:val="22"/>
        </w:rPr>
        <w:t xml:space="preserve"> operators and how to comply</w:t>
      </w:r>
    </w:p>
    <w:tbl>
      <w:tblPr>
        <w:tblW w:w="9360" w:type="dxa"/>
        <w:tblBorders>
          <w:top w:val="single" w:sz="2" w:space="0" w:color="E8EEF4"/>
          <w:left w:val="single" w:sz="24" w:space="0" w:color="8A3324"/>
          <w:bottom w:val="single" w:sz="2" w:space="0" w:color="E8EEF4"/>
          <w:right w:val="single" w:sz="2" w:space="0" w:color="E8EEF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150D9" w:rsidRPr="00121667" w14:paraId="031E63F6" w14:textId="77777777">
        <w:tblPrEx>
          <w:tblCellMar>
            <w:top w:w="0" w:type="dxa"/>
            <w:bottom w:w="0" w:type="dxa"/>
          </w:tblCellMar>
        </w:tblPrEx>
        <w:tc>
          <w:tcPr>
            <w:tcW w:w="9360" w:type="dxa"/>
            <w:shd w:val="clear" w:color="auto" w:fill="E8EEF4"/>
            <w:tcMar>
              <w:top w:w="140" w:type="dxa"/>
              <w:left w:w="200" w:type="dxa"/>
              <w:bottom w:w="140" w:type="dxa"/>
              <w:right w:w="200" w:type="dxa"/>
            </w:tcMar>
          </w:tcPr>
          <w:p w14:paraId="78C39B01" w14:textId="30489DBE" w:rsidR="005150D9" w:rsidRPr="00121667" w:rsidRDefault="00000000">
            <w:pPr>
              <w:spacing w:line="276" w:lineRule="auto"/>
              <w:rPr>
                <w:rFonts w:ascii="Arial" w:hAnsi="Arial" w:cs="Arial"/>
                <w:sz w:val="22"/>
                <w:szCs w:val="22"/>
              </w:rPr>
            </w:pPr>
            <w:r w:rsidRPr="00121667">
              <w:rPr>
                <w:rFonts w:ascii="Arial" w:hAnsi="Arial" w:cs="Arial"/>
                <w:sz w:val="22"/>
                <w:szCs w:val="22"/>
              </w:rPr>
              <w:t xml:space="preserve">This white paper distills the January 2026 legal analysis </w:t>
            </w:r>
            <w:r w:rsidR="00121667">
              <w:rPr>
                <w:rFonts w:ascii="Arial" w:hAnsi="Arial" w:cs="Arial"/>
                <w:sz w:val="22"/>
                <w:szCs w:val="22"/>
              </w:rPr>
              <w:t xml:space="preserve">Osler, Hoskin &amp; Harcourt LLP prepared for the CSSA </w:t>
            </w:r>
            <w:r w:rsidRPr="00121667">
              <w:rPr>
                <w:rFonts w:ascii="Arial" w:hAnsi="Arial" w:cs="Arial"/>
                <w:sz w:val="22"/>
                <w:szCs w:val="22"/>
              </w:rPr>
              <w:t xml:space="preserve">into practical, plain-language guidance for members. It </w:t>
            </w:r>
            <w:r w:rsidR="00D02C25">
              <w:rPr>
                <w:rFonts w:ascii="Arial" w:hAnsi="Arial" w:cs="Arial"/>
                <w:sz w:val="22"/>
                <w:szCs w:val="22"/>
              </w:rPr>
              <w:t>helps operators understand where common industry pricing practices create legal risk</w:t>
            </w:r>
            <w:r w:rsidRPr="00121667">
              <w:rPr>
                <w:rFonts w:ascii="Arial" w:hAnsi="Arial" w:cs="Arial"/>
                <w:sz w:val="22"/>
                <w:szCs w:val="22"/>
              </w:rPr>
              <w:t xml:space="preserve"> and what to change. It is educational </w:t>
            </w:r>
            <w:r w:rsidR="00121667">
              <w:rPr>
                <w:rFonts w:ascii="Arial" w:hAnsi="Arial" w:cs="Arial"/>
                <w:sz w:val="22"/>
                <w:szCs w:val="22"/>
              </w:rPr>
              <w:t xml:space="preserve">and </w:t>
            </w:r>
            <w:r w:rsidRPr="00121667">
              <w:rPr>
                <w:rFonts w:ascii="Arial" w:hAnsi="Arial" w:cs="Arial"/>
                <w:b/>
                <w:bCs/>
                <w:sz w:val="22"/>
                <w:szCs w:val="22"/>
              </w:rPr>
              <w:t>not a substitute for legal advice</w:t>
            </w:r>
            <w:r w:rsidRPr="00121667">
              <w:rPr>
                <w:rFonts w:ascii="Arial" w:hAnsi="Arial" w:cs="Arial"/>
                <w:sz w:val="22"/>
                <w:szCs w:val="22"/>
              </w:rPr>
              <w:t xml:space="preserve"> tailored to your business. See the note </w:t>
            </w:r>
            <w:r w:rsidR="00121667">
              <w:rPr>
                <w:rFonts w:ascii="Arial" w:hAnsi="Arial" w:cs="Arial"/>
                <w:sz w:val="22"/>
                <w:szCs w:val="22"/>
              </w:rPr>
              <w:t>below</w:t>
            </w:r>
            <w:r w:rsidRPr="00121667">
              <w:rPr>
                <w:rFonts w:ascii="Arial" w:hAnsi="Arial" w:cs="Arial"/>
                <w:sz w:val="22"/>
                <w:szCs w:val="22"/>
              </w:rPr>
              <w:t>.</w:t>
            </w:r>
          </w:p>
        </w:tc>
      </w:tr>
    </w:tbl>
    <w:p w14:paraId="6DEC65A8" w14:textId="77777777" w:rsidR="005150D9" w:rsidRPr="00D02C25" w:rsidRDefault="00000000">
      <w:pPr>
        <w:pStyle w:val="Heading1"/>
        <w:rPr>
          <w:rFonts w:ascii="Arial" w:hAnsi="Arial" w:cs="Arial"/>
          <w:color w:val="000000" w:themeColor="text1"/>
          <w:sz w:val="22"/>
          <w:szCs w:val="22"/>
        </w:rPr>
      </w:pPr>
      <w:r w:rsidRPr="00D02C25">
        <w:rPr>
          <w:rFonts w:ascii="Arial" w:hAnsi="Arial" w:cs="Arial"/>
          <w:color w:val="000000" w:themeColor="text1"/>
          <w:sz w:val="22"/>
          <w:szCs w:val="22"/>
        </w:rPr>
        <w:t>About this white paper</w:t>
      </w:r>
    </w:p>
    <w:p w14:paraId="2104D9AA" w14:textId="71B542F5" w:rsidR="005150D9" w:rsidRPr="00121667" w:rsidRDefault="00000000">
      <w:pPr>
        <w:spacing w:after="140" w:line="276" w:lineRule="auto"/>
        <w:rPr>
          <w:rFonts w:ascii="Arial" w:hAnsi="Arial" w:cs="Arial"/>
          <w:sz w:val="22"/>
          <w:szCs w:val="22"/>
        </w:rPr>
      </w:pPr>
      <w:r w:rsidRPr="00121667">
        <w:rPr>
          <w:rFonts w:ascii="Arial" w:hAnsi="Arial" w:cs="Arial"/>
          <w:sz w:val="22"/>
          <w:szCs w:val="22"/>
        </w:rPr>
        <w:t>Over the past two years, Canada's Competition Bureau has made deceptive pricing</w:t>
      </w:r>
      <w:r w:rsidR="00D02C25">
        <w:rPr>
          <w:rFonts w:ascii="Arial" w:hAnsi="Arial" w:cs="Arial"/>
          <w:sz w:val="22"/>
          <w:szCs w:val="22"/>
        </w:rPr>
        <w:t xml:space="preserve">, </w:t>
      </w:r>
      <w:r w:rsidRPr="00121667">
        <w:rPr>
          <w:rFonts w:ascii="Arial" w:hAnsi="Arial" w:cs="Arial"/>
          <w:sz w:val="22"/>
          <w:szCs w:val="22"/>
        </w:rPr>
        <w:t>and “drip pricing” in particular</w:t>
      </w:r>
      <w:r w:rsidR="00D02C25">
        <w:rPr>
          <w:rFonts w:ascii="Arial" w:hAnsi="Arial" w:cs="Arial"/>
          <w:sz w:val="22"/>
          <w:szCs w:val="22"/>
        </w:rPr>
        <w:t xml:space="preserve">, </w:t>
      </w:r>
      <w:r w:rsidRPr="00121667">
        <w:rPr>
          <w:rFonts w:ascii="Arial" w:hAnsi="Arial" w:cs="Arial"/>
          <w:sz w:val="22"/>
          <w:szCs w:val="22"/>
        </w:rPr>
        <w:t>one of its highest enforcement priorities. Penalties have moved from theoretical to very real: a single 2024 decision produced administrative monetary penalties of more than $38.9 million. The rules apply nationwide</w:t>
      </w:r>
      <w:r w:rsidR="00121667">
        <w:rPr>
          <w:rFonts w:ascii="Arial" w:hAnsi="Arial" w:cs="Arial"/>
          <w:sz w:val="22"/>
          <w:szCs w:val="22"/>
        </w:rPr>
        <w:t>;</w:t>
      </w:r>
      <w:r w:rsidRPr="00121667">
        <w:rPr>
          <w:rFonts w:ascii="Arial" w:hAnsi="Arial" w:cs="Arial"/>
          <w:sz w:val="22"/>
          <w:szCs w:val="22"/>
        </w:rPr>
        <w:t xml:space="preserve"> they apply to how storage is marketed and rented online, and they apply whether your customer is an individual or a business.</w:t>
      </w:r>
    </w:p>
    <w:p w14:paraId="521F1D82" w14:textId="77777777" w:rsidR="005150D9" w:rsidRDefault="00000000">
      <w:pPr>
        <w:spacing w:after="140" w:line="276" w:lineRule="auto"/>
        <w:rPr>
          <w:rFonts w:ascii="Arial" w:hAnsi="Arial" w:cs="Arial"/>
          <w:sz w:val="22"/>
          <w:szCs w:val="22"/>
        </w:rPr>
      </w:pPr>
      <w:r w:rsidRPr="00121667">
        <w:rPr>
          <w:rFonts w:ascii="Arial" w:hAnsi="Arial" w:cs="Arial"/>
          <w:sz w:val="22"/>
          <w:szCs w:val="22"/>
        </w:rPr>
        <w:t xml:space="preserve">The CSSA commissioned an independent legal review of how the industry commonly discloses prices, measured against the </w:t>
      </w:r>
      <w:r w:rsidRPr="00121667">
        <w:rPr>
          <w:rFonts w:ascii="Arial" w:hAnsi="Arial" w:cs="Arial"/>
          <w:i/>
          <w:iCs/>
          <w:sz w:val="22"/>
          <w:szCs w:val="22"/>
        </w:rPr>
        <w:t>Competition Act</w:t>
      </w:r>
      <w:r w:rsidRPr="00121667">
        <w:rPr>
          <w:rFonts w:ascii="Arial" w:hAnsi="Arial" w:cs="Arial"/>
          <w:sz w:val="22"/>
          <w:szCs w:val="22"/>
        </w:rPr>
        <w:t xml:space="preserve"> and provincial consumer protection law. This white paper translates that review into guidance the membership can use. It explains the core legal standard, summarizes the enforcement landscape, identifies the specific disclosure practices in our industry that carry risk, and sets out a concrete compliance roadmap.</w:t>
      </w:r>
    </w:p>
    <w:p w14:paraId="630D1ED5" w14:textId="77777777" w:rsidR="00121667" w:rsidRPr="00121667" w:rsidRDefault="00121667">
      <w:pPr>
        <w:spacing w:after="140" w:line="276" w:lineRule="auto"/>
        <w:rPr>
          <w:rFonts w:ascii="Arial" w:hAnsi="Arial" w:cs="Arial"/>
          <w:sz w:val="22"/>
          <w:szCs w:val="22"/>
        </w:rPr>
      </w:pPr>
    </w:p>
    <w:tbl>
      <w:tblPr>
        <w:tblW w:w="9360" w:type="dxa"/>
        <w:tblBorders>
          <w:top w:val="single" w:sz="2" w:space="0" w:color="F5EDEC"/>
          <w:left w:val="single" w:sz="24" w:space="0" w:color="8A3324"/>
          <w:bottom w:val="single" w:sz="2" w:space="0" w:color="F5EDEC"/>
          <w:right w:val="single" w:sz="2" w:space="0" w:color="F5EDEC"/>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150D9" w:rsidRPr="00121667" w14:paraId="2AD18701" w14:textId="77777777">
        <w:tblPrEx>
          <w:tblCellMar>
            <w:top w:w="0" w:type="dxa"/>
            <w:bottom w:w="0" w:type="dxa"/>
          </w:tblCellMar>
        </w:tblPrEx>
        <w:tc>
          <w:tcPr>
            <w:tcW w:w="9360" w:type="dxa"/>
            <w:shd w:val="clear" w:color="auto" w:fill="F5EDEC"/>
            <w:tcMar>
              <w:top w:w="140" w:type="dxa"/>
              <w:left w:w="200" w:type="dxa"/>
              <w:bottom w:w="140" w:type="dxa"/>
              <w:right w:w="200" w:type="dxa"/>
            </w:tcMar>
          </w:tcPr>
          <w:p w14:paraId="5D584F54" w14:textId="5653959B" w:rsidR="005150D9" w:rsidRPr="00D02C25" w:rsidRDefault="00D02C25">
            <w:pPr>
              <w:spacing w:after="60"/>
              <w:rPr>
                <w:rFonts w:ascii="Arial" w:hAnsi="Arial" w:cs="Arial"/>
                <w:color w:val="000000" w:themeColor="text1"/>
                <w:sz w:val="22"/>
                <w:szCs w:val="22"/>
              </w:rPr>
            </w:pPr>
            <w:r w:rsidRPr="00D02C25">
              <w:rPr>
                <w:rFonts w:ascii="Arial" w:hAnsi="Arial" w:cs="Arial"/>
                <w:b/>
                <w:bCs/>
                <w:color w:val="000000" w:themeColor="text1"/>
                <w:sz w:val="22"/>
                <w:szCs w:val="22"/>
              </w:rPr>
              <w:t>IMPORTANT: NOT LEGAL ADVICE</w:t>
            </w:r>
          </w:p>
          <w:p w14:paraId="1FE838A3" w14:textId="1605C491" w:rsidR="005150D9" w:rsidRPr="00121667" w:rsidRDefault="00000000">
            <w:pPr>
              <w:spacing w:line="276" w:lineRule="auto"/>
              <w:rPr>
                <w:rFonts w:ascii="Arial" w:hAnsi="Arial" w:cs="Arial"/>
                <w:sz w:val="22"/>
                <w:szCs w:val="22"/>
              </w:rPr>
            </w:pPr>
            <w:r w:rsidRPr="00121667">
              <w:rPr>
                <w:rFonts w:ascii="Arial" w:hAnsi="Arial" w:cs="Arial"/>
                <w:sz w:val="22"/>
                <w:szCs w:val="22"/>
              </w:rPr>
              <w:t>This document is general guidance for CSSA members. It is not legal advice and does not create a lawyer-client relationship. Pricing disclosures turn on the specific facts of each offering</w:t>
            </w:r>
            <w:r w:rsidR="00121667">
              <w:rPr>
                <w:rFonts w:ascii="Arial" w:hAnsi="Arial" w:cs="Arial"/>
                <w:sz w:val="22"/>
                <w:szCs w:val="22"/>
              </w:rPr>
              <w:t xml:space="preserve">: </w:t>
            </w:r>
            <w:r w:rsidRPr="00121667">
              <w:rPr>
                <w:rFonts w:ascii="Arial" w:hAnsi="Arial" w:cs="Arial"/>
                <w:sz w:val="22"/>
                <w:szCs w:val="22"/>
              </w:rPr>
              <w:t>your fee structure, your website flow, your promotions, and the provinces you operate in. Before changing (or keeping) any pricing practice, members should obtain a legal opinion tailored to their own circumstances. The law summarized here is stated as of early 2026 and continues to develop, including through cases still before the courts.</w:t>
            </w:r>
          </w:p>
        </w:tc>
      </w:tr>
    </w:tbl>
    <w:p w14:paraId="4334F746" w14:textId="77777777" w:rsidR="005150D9" w:rsidRPr="00121667" w:rsidRDefault="00000000">
      <w:pPr>
        <w:rPr>
          <w:rFonts w:ascii="Arial" w:hAnsi="Arial" w:cs="Arial"/>
          <w:sz w:val="22"/>
          <w:szCs w:val="22"/>
        </w:rPr>
      </w:pPr>
      <w:r w:rsidRPr="00121667">
        <w:rPr>
          <w:rFonts w:ascii="Arial" w:hAnsi="Arial" w:cs="Arial"/>
          <w:sz w:val="22"/>
          <w:szCs w:val="22"/>
        </w:rPr>
        <w:br w:type="page"/>
      </w:r>
    </w:p>
    <w:p w14:paraId="338FB73D" w14:textId="050A21E9" w:rsidR="005150D9" w:rsidRPr="00D02C25" w:rsidRDefault="00D02C25">
      <w:pPr>
        <w:pStyle w:val="Heading1"/>
        <w:rPr>
          <w:rFonts w:ascii="Arial" w:hAnsi="Arial" w:cs="Arial"/>
          <w:color w:val="000000" w:themeColor="text1"/>
          <w:sz w:val="22"/>
          <w:szCs w:val="22"/>
        </w:rPr>
      </w:pPr>
      <w:r w:rsidRPr="00D02C25">
        <w:rPr>
          <w:rFonts w:ascii="Arial" w:hAnsi="Arial" w:cs="Arial"/>
          <w:color w:val="000000" w:themeColor="text1"/>
          <w:sz w:val="22"/>
          <w:szCs w:val="22"/>
        </w:rPr>
        <w:lastRenderedPageBreak/>
        <w:t>1. EXECUTIVE SUMMARY</w:t>
      </w:r>
    </w:p>
    <w:p w14:paraId="2B757721" w14:textId="55871595" w:rsidR="005150D9" w:rsidRPr="00D02C25" w:rsidRDefault="00000000">
      <w:pPr>
        <w:spacing w:after="140" w:line="276" w:lineRule="auto"/>
        <w:rPr>
          <w:rFonts w:ascii="Arial" w:hAnsi="Arial" w:cs="Arial"/>
          <w:color w:val="000000" w:themeColor="text1"/>
          <w:sz w:val="22"/>
          <w:szCs w:val="22"/>
        </w:rPr>
      </w:pPr>
      <w:r w:rsidRPr="00D02C25">
        <w:rPr>
          <w:rFonts w:ascii="Arial" w:hAnsi="Arial" w:cs="Arial"/>
          <w:color w:val="000000" w:themeColor="text1"/>
          <w:sz w:val="22"/>
          <w:szCs w:val="22"/>
        </w:rPr>
        <w:t>Drip pricing means advertising an attractive “headline” price and then adding mandatory charges that make the product unattainable at that price. In Canada</w:t>
      </w:r>
      <w:r w:rsidR="00121667" w:rsidRPr="00D02C25">
        <w:rPr>
          <w:rFonts w:ascii="Arial" w:hAnsi="Arial" w:cs="Arial"/>
          <w:color w:val="000000" w:themeColor="text1"/>
          <w:sz w:val="22"/>
          <w:szCs w:val="22"/>
        </w:rPr>
        <w:t xml:space="preserve">, it is treated as deceptive and </w:t>
      </w:r>
      <w:r w:rsidRPr="00D02C25">
        <w:rPr>
          <w:rFonts w:ascii="Arial" w:hAnsi="Arial" w:cs="Arial"/>
          <w:color w:val="000000" w:themeColor="text1"/>
          <w:sz w:val="22"/>
          <w:szCs w:val="22"/>
        </w:rPr>
        <w:t xml:space="preserve">is </w:t>
      </w:r>
      <w:r w:rsidR="00121667" w:rsidRPr="00D02C25">
        <w:rPr>
          <w:rFonts w:ascii="Arial" w:hAnsi="Arial" w:cs="Arial"/>
          <w:color w:val="000000" w:themeColor="text1"/>
          <w:sz w:val="22"/>
          <w:szCs w:val="22"/>
        </w:rPr>
        <w:t>a key enforcement priority</w:t>
      </w:r>
      <w:r w:rsidRPr="00D02C25">
        <w:rPr>
          <w:rFonts w:ascii="Arial" w:hAnsi="Arial" w:cs="Arial"/>
          <w:color w:val="000000" w:themeColor="text1"/>
          <w:sz w:val="22"/>
          <w:szCs w:val="22"/>
        </w:rPr>
        <w:t>.</w:t>
      </w:r>
    </w:p>
    <w:p w14:paraId="5467E9E7" w14:textId="77777777" w:rsidR="005150D9" w:rsidRPr="00D02C25" w:rsidRDefault="00000000">
      <w:pPr>
        <w:spacing w:after="80" w:line="276" w:lineRule="auto"/>
        <w:rPr>
          <w:rFonts w:ascii="Arial" w:hAnsi="Arial" w:cs="Arial"/>
          <w:color w:val="000000" w:themeColor="text1"/>
          <w:sz w:val="22"/>
          <w:szCs w:val="22"/>
        </w:rPr>
      </w:pPr>
      <w:r w:rsidRPr="00D02C25">
        <w:rPr>
          <w:rFonts w:ascii="Arial" w:hAnsi="Arial" w:cs="Arial"/>
          <w:b/>
          <w:bCs/>
          <w:color w:val="000000" w:themeColor="text1"/>
          <w:sz w:val="22"/>
          <w:szCs w:val="22"/>
        </w:rPr>
        <w:t>The essentials for storage operators:</w:t>
      </w:r>
    </w:p>
    <w:p w14:paraId="3185369C" w14:textId="442B895F" w:rsidR="005150D9" w:rsidRPr="00D02C25" w:rsidRDefault="00000000">
      <w:pPr>
        <w:pStyle w:val="ListParagraph"/>
        <w:numPr>
          <w:ilvl w:val="0"/>
          <w:numId w:val="2"/>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The advertised price must be attainable. </w:t>
      </w:r>
      <w:r w:rsidRPr="00D02C25">
        <w:rPr>
          <w:rFonts w:ascii="Arial" w:hAnsi="Arial" w:cs="Arial"/>
          <w:color w:val="000000" w:themeColor="text1"/>
          <w:sz w:val="22"/>
          <w:szCs w:val="22"/>
        </w:rPr>
        <w:t>Any fixed, mandatory fee a customer cannot avoid</w:t>
      </w:r>
      <w:r w:rsidR="00121667" w:rsidRPr="00D02C25">
        <w:rPr>
          <w:rFonts w:ascii="Arial" w:hAnsi="Arial" w:cs="Arial"/>
          <w:color w:val="000000" w:themeColor="text1"/>
          <w:sz w:val="22"/>
          <w:szCs w:val="22"/>
        </w:rPr>
        <w:t xml:space="preserve"> (administration, insurance, or lock fees, </w:t>
      </w:r>
      <w:proofErr w:type="spellStart"/>
      <w:r w:rsidR="00121667" w:rsidRPr="00D02C25">
        <w:rPr>
          <w:rFonts w:ascii="Arial" w:hAnsi="Arial" w:cs="Arial"/>
          <w:color w:val="000000" w:themeColor="text1"/>
          <w:sz w:val="22"/>
          <w:szCs w:val="22"/>
        </w:rPr>
        <w:t>etc</w:t>
      </w:r>
      <w:proofErr w:type="spellEnd"/>
      <w:r w:rsidR="00121667" w:rsidRPr="00D02C25">
        <w:rPr>
          <w:rFonts w:ascii="Arial" w:hAnsi="Arial" w:cs="Arial"/>
          <w:color w:val="000000" w:themeColor="text1"/>
          <w:sz w:val="22"/>
          <w:szCs w:val="22"/>
        </w:rPr>
        <w:t>)</w:t>
      </w:r>
      <w:r w:rsidRPr="00D02C25">
        <w:rPr>
          <w:rFonts w:ascii="Arial" w:hAnsi="Arial" w:cs="Arial"/>
          <w:color w:val="000000" w:themeColor="text1"/>
          <w:sz w:val="22"/>
          <w:szCs w:val="22"/>
        </w:rPr>
        <w:t xml:space="preserve"> must be built into the price shown up front. Only genuinely optional charges and government-imposed taxes (GST/HST/PST/QST) may sit outside it.</w:t>
      </w:r>
    </w:p>
    <w:p w14:paraId="5E8CC388" w14:textId="1FA58C34" w:rsidR="005150D9" w:rsidRPr="00D02C25" w:rsidRDefault="00000000">
      <w:pPr>
        <w:pStyle w:val="ListParagraph"/>
        <w:numPr>
          <w:ilvl w:val="0"/>
          <w:numId w:val="2"/>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The stakes are high. </w:t>
      </w:r>
      <w:r w:rsidRPr="00D02C25">
        <w:rPr>
          <w:rFonts w:ascii="Arial" w:hAnsi="Arial" w:cs="Arial"/>
          <w:color w:val="000000" w:themeColor="text1"/>
          <w:sz w:val="22"/>
          <w:szCs w:val="22"/>
        </w:rPr>
        <w:t>Penalties for a corporation can reach the greater of $10 million ($15 million for repeat conduct) or three times the benefit gained</w:t>
      </w:r>
      <w:r w:rsidR="00D02C25">
        <w:rPr>
          <w:rFonts w:ascii="Arial" w:hAnsi="Arial" w:cs="Arial"/>
          <w:color w:val="000000" w:themeColor="text1"/>
          <w:sz w:val="22"/>
          <w:szCs w:val="22"/>
        </w:rPr>
        <w:t>,</w:t>
      </w:r>
      <w:r w:rsidRPr="00D02C25">
        <w:rPr>
          <w:rFonts w:ascii="Arial" w:hAnsi="Arial" w:cs="Arial"/>
          <w:color w:val="000000" w:themeColor="text1"/>
          <w:sz w:val="22"/>
          <w:szCs w:val="22"/>
        </w:rPr>
        <w:t xml:space="preserve"> and where that can't be calculated, 3% of annual worldwide revenue. Restitution to customers and mandatory corrective notices are also on the table.</w:t>
      </w:r>
    </w:p>
    <w:p w14:paraId="59360F79" w14:textId="1DCD754C" w:rsidR="005150D9" w:rsidRPr="00D02C25" w:rsidRDefault="00000000">
      <w:pPr>
        <w:pStyle w:val="ListParagraph"/>
        <w:numPr>
          <w:ilvl w:val="0"/>
          <w:numId w:val="2"/>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It applies everywhere, to everyone. </w:t>
      </w:r>
      <w:r w:rsidRPr="00D02C25">
        <w:rPr>
          <w:rFonts w:ascii="Arial" w:hAnsi="Arial" w:cs="Arial"/>
          <w:color w:val="000000" w:themeColor="text1"/>
          <w:sz w:val="22"/>
          <w:szCs w:val="22"/>
        </w:rPr>
        <w:t xml:space="preserve">The federal </w:t>
      </w:r>
      <w:r w:rsidRPr="00D02C25">
        <w:rPr>
          <w:rFonts w:ascii="Arial" w:hAnsi="Arial" w:cs="Arial"/>
          <w:i/>
          <w:iCs/>
          <w:color w:val="000000" w:themeColor="text1"/>
          <w:sz w:val="22"/>
          <w:szCs w:val="22"/>
        </w:rPr>
        <w:t>Competition Act</w:t>
      </w:r>
      <w:r w:rsidRPr="00D02C25">
        <w:rPr>
          <w:rFonts w:ascii="Arial" w:hAnsi="Arial" w:cs="Arial"/>
          <w:color w:val="000000" w:themeColor="text1"/>
          <w:sz w:val="22"/>
          <w:szCs w:val="22"/>
        </w:rPr>
        <w:t xml:space="preserve"> reaches every province and territory and covers business customers </w:t>
      </w:r>
      <w:r w:rsidR="00121667" w:rsidRPr="00D02C25">
        <w:rPr>
          <w:rFonts w:ascii="Arial" w:hAnsi="Arial" w:cs="Arial"/>
          <w:color w:val="000000" w:themeColor="text1"/>
          <w:sz w:val="22"/>
          <w:szCs w:val="22"/>
        </w:rPr>
        <w:t>and</w:t>
      </w:r>
      <w:r w:rsidRPr="00D02C25">
        <w:rPr>
          <w:rFonts w:ascii="Arial" w:hAnsi="Arial" w:cs="Arial"/>
          <w:color w:val="000000" w:themeColor="text1"/>
          <w:sz w:val="22"/>
          <w:szCs w:val="22"/>
        </w:rPr>
        <w:t xml:space="preserve"> consumers. Several provinces</w:t>
      </w:r>
      <w:r w:rsidR="00121667" w:rsidRPr="00D02C25">
        <w:rPr>
          <w:rFonts w:ascii="Arial" w:hAnsi="Arial" w:cs="Arial"/>
          <w:color w:val="000000" w:themeColor="text1"/>
          <w:sz w:val="22"/>
          <w:szCs w:val="22"/>
        </w:rPr>
        <w:t xml:space="preserve">, </w:t>
      </w:r>
      <w:r w:rsidRPr="00D02C25">
        <w:rPr>
          <w:rFonts w:ascii="Arial" w:hAnsi="Arial" w:cs="Arial"/>
          <w:color w:val="000000" w:themeColor="text1"/>
          <w:sz w:val="22"/>
          <w:szCs w:val="22"/>
        </w:rPr>
        <w:t>Québec chief among them</w:t>
      </w:r>
      <w:r w:rsidR="00121667" w:rsidRPr="00D02C25">
        <w:rPr>
          <w:rFonts w:ascii="Arial" w:hAnsi="Arial" w:cs="Arial"/>
          <w:color w:val="000000" w:themeColor="text1"/>
          <w:sz w:val="22"/>
          <w:szCs w:val="22"/>
        </w:rPr>
        <w:t xml:space="preserve">, </w:t>
      </w:r>
      <w:r w:rsidRPr="00D02C25">
        <w:rPr>
          <w:rFonts w:ascii="Arial" w:hAnsi="Arial" w:cs="Arial"/>
          <w:color w:val="000000" w:themeColor="text1"/>
          <w:sz w:val="22"/>
          <w:szCs w:val="22"/>
        </w:rPr>
        <w:t>add a stricter rule on how prominently the total price must be shown.</w:t>
      </w:r>
    </w:p>
    <w:p w14:paraId="09FC7159" w14:textId="77777777" w:rsidR="005150D9" w:rsidRPr="00D02C25" w:rsidRDefault="00000000">
      <w:pPr>
        <w:pStyle w:val="ListParagraph"/>
        <w:numPr>
          <w:ilvl w:val="0"/>
          <w:numId w:val="2"/>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Promotions and “per week” rates are common trouble spots. </w:t>
      </w:r>
      <w:r w:rsidRPr="00D02C25">
        <w:rPr>
          <w:rFonts w:ascii="Arial" w:hAnsi="Arial" w:cs="Arial"/>
          <w:color w:val="000000" w:themeColor="text1"/>
          <w:sz w:val="22"/>
          <w:szCs w:val="22"/>
        </w:rPr>
        <w:t>“First month free,” “$1 for the first month,” and weekly rates attached to monthly minimums all need care to stay onside.</w:t>
      </w:r>
    </w:p>
    <w:p w14:paraId="34951563" w14:textId="1A0FCB0A" w:rsidR="005150D9" w:rsidRPr="00D02C25" w:rsidRDefault="00000000">
      <w:pPr>
        <w:spacing w:after="140" w:line="276" w:lineRule="auto"/>
        <w:rPr>
          <w:rFonts w:ascii="Arial" w:hAnsi="Arial" w:cs="Arial"/>
          <w:color w:val="000000" w:themeColor="text1"/>
          <w:sz w:val="22"/>
          <w:szCs w:val="22"/>
        </w:rPr>
      </w:pPr>
      <w:r w:rsidRPr="00D02C25">
        <w:rPr>
          <w:rFonts w:ascii="Arial" w:hAnsi="Arial" w:cs="Arial"/>
          <w:color w:val="000000" w:themeColor="text1"/>
          <w:sz w:val="22"/>
          <w:szCs w:val="22"/>
        </w:rPr>
        <w:t xml:space="preserve">The safest posture is an </w:t>
      </w:r>
      <w:r w:rsidRPr="00D02C25">
        <w:rPr>
          <w:rFonts w:ascii="Arial" w:hAnsi="Arial" w:cs="Arial"/>
          <w:b/>
          <w:bCs/>
          <w:color w:val="000000" w:themeColor="text1"/>
          <w:sz w:val="22"/>
          <w:szCs w:val="22"/>
        </w:rPr>
        <w:t>“upfront total price” standard</w:t>
      </w:r>
      <w:r w:rsidR="00D02C25">
        <w:rPr>
          <w:rFonts w:ascii="Arial" w:hAnsi="Arial" w:cs="Arial"/>
          <w:color w:val="000000" w:themeColor="text1"/>
          <w:sz w:val="22"/>
          <w:szCs w:val="22"/>
        </w:rPr>
        <w:t>. Whatever</w:t>
      </w:r>
      <w:r w:rsidRPr="00D02C25">
        <w:rPr>
          <w:rFonts w:ascii="Arial" w:hAnsi="Arial" w:cs="Arial"/>
          <w:color w:val="000000" w:themeColor="text1"/>
          <w:sz w:val="22"/>
          <w:szCs w:val="22"/>
        </w:rPr>
        <w:t xml:space="preserve"> number a customer sees first should be the all-in amount they will </w:t>
      </w:r>
      <w:proofErr w:type="gramStart"/>
      <w:r w:rsidRPr="00D02C25">
        <w:rPr>
          <w:rFonts w:ascii="Arial" w:hAnsi="Arial" w:cs="Arial"/>
          <w:color w:val="000000" w:themeColor="text1"/>
          <w:sz w:val="22"/>
          <w:szCs w:val="22"/>
        </w:rPr>
        <w:t>actually pay</w:t>
      </w:r>
      <w:proofErr w:type="gramEnd"/>
      <w:r w:rsidRPr="00D02C25">
        <w:rPr>
          <w:rFonts w:ascii="Arial" w:hAnsi="Arial" w:cs="Arial"/>
          <w:color w:val="000000" w:themeColor="text1"/>
          <w:sz w:val="22"/>
          <w:szCs w:val="22"/>
        </w:rPr>
        <w:t xml:space="preserve"> to rent the unit for the minimum rental period, with any optional add-ons layered on top of that number.</w:t>
      </w:r>
    </w:p>
    <w:p w14:paraId="56623754" w14:textId="5FB96E12" w:rsidR="005150D9" w:rsidRPr="00D02C25" w:rsidRDefault="00D02C25">
      <w:pPr>
        <w:pStyle w:val="Heading1"/>
        <w:rPr>
          <w:rFonts w:ascii="Arial" w:hAnsi="Arial" w:cs="Arial"/>
          <w:color w:val="000000" w:themeColor="text1"/>
          <w:sz w:val="22"/>
          <w:szCs w:val="22"/>
        </w:rPr>
      </w:pPr>
      <w:r w:rsidRPr="00D02C25">
        <w:rPr>
          <w:rFonts w:ascii="Arial" w:hAnsi="Arial" w:cs="Arial"/>
          <w:color w:val="000000" w:themeColor="text1"/>
          <w:sz w:val="22"/>
          <w:szCs w:val="22"/>
        </w:rPr>
        <w:t>2. WHY THIS MATTERS NOW</w:t>
      </w:r>
    </w:p>
    <w:p w14:paraId="10F16C7B" w14:textId="32D92D60" w:rsidR="005150D9" w:rsidRPr="00121667" w:rsidRDefault="00000000">
      <w:pPr>
        <w:spacing w:after="140" w:line="276" w:lineRule="auto"/>
        <w:rPr>
          <w:rFonts w:ascii="Arial" w:hAnsi="Arial" w:cs="Arial"/>
          <w:sz w:val="22"/>
          <w:szCs w:val="22"/>
        </w:rPr>
      </w:pPr>
      <w:r w:rsidRPr="00D02C25">
        <w:rPr>
          <w:rFonts w:ascii="Arial" w:hAnsi="Arial" w:cs="Arial"/>
          <w:color w:val="000000" w:themeColor="text1"/>
          <w:sz w:val="22"/>
          <w:szCs w:val="22"/>
        </w:rPr>
        <w:t>The Bureau has framed drip pricing as a growing problem in the digital economy that distorts what customers think they are paying and undermines in</w:t>
      </w:r>
      <w:r w:rsidRPr="00121667">
        <w:rPr>
          <w:rFonts w:ascii="Arial" w:hAnsi="Arial" w:cs="Arial"/>
          <w:sz w:val="22"/>
          <w:szCs w:val="22"/>
        </w:rPr>
        <w:t xml:space="preserve">formed choice. Recent actions show it is willing to litigate, to </w:t>
      </w:r>
      <w:r w:rsidR="00121667" w:rsidRPr="00121667">
        <w:rPr>
          <w:rFonts w:ascii="Arial" w:hAnsi="Arial" w:cs="Arial"/>
          <w:sz w:val="22"/>
          <w:szCs w:val="22"/>
        </w:rPr>
        <w:t>settle</w:t>
      </w:r>
      <w:r w:rsidRPr="00121667">
        <w:rPr>
          <w:rFonts w:ascii="Arial" w:hAnsi="Arial" w:cs="Arial"/>
          <w:sz w:val="22"/>
          <w:szCs w:val="22"/>
        </w:rPr>
        <w:t xml:space="preserve"> </w:t>
      </w:r>
      <w:r w:rsidR="00121667">
        <w:rPr>
          <w:rFonts w:ascii="Arial" w:hAnsi="Arial" w:cs="Arial"/>
          <w:sz w:val="22"/>
          <w:szCs w:val="22"/>
        </w:rPr>
        <w:t xml:space="preserve">on </w:t>
      </w:r>
      <w:r w:rsidRPr="00121667">
        <w:rPr>
          <w:rFonts w:ascii="Arial" w:hAnsi="Arial" w:cs="Arial"/>
          <w:sz w:val="22"/>
          <w:szCs w:val="22"/>
        </w:rPr>
        <w:t>demanding terms, and to seek very large penalties. Four cases set the tone</w:t>
      </w:r>
      <w:r w:rsidR="00121667">
        <w:rPr>
          <w:rFonts w:ascii="Arial" w:hAnsi="Arial" w:cs="Arial"/>
          <w:sz w:val="22"/>
          <w:szCs w:val="22"/>
        </w:rPr>
        <w:t>:</w:t>
      </w:r>
    </w:p>
    <w:p w14:paraId="18DB71CB" w14:textId="77777777" w:rsidR="005150D9" w:rsidRPr="00121667" w:rsidRDefault="005150D9">
      <w:pPr>
        <w:spacing w:after="40"/>
        <w:rPr>
          <w:rFonts w:ascii="Arial" w:hAnsi="Arial" w:cs="Arial"/>
          <w:sz w:val="22"/>
          <w:szCs w:val="22"/>
        </w:rPr>
      </w:pPr>
    </w:p>
    <w:tbl>
      <w:tblPr>
        <w:tblW w:w="9360" w:type="dxa"/>
        <w:tblBorders>
          <w:top w:val="single" w:sz="2" w:space="0" w:color="9FB3C8"/>
          <w:left w:val="single" w:sz="2" w:space="0" w:color="9FB3C8"/>
          <w:bottom w:val="single" w:sz="2" w:space="0" w:color="9FB3C8"/>
          <w:right w:val="single" w:sz="2" w:space="0" w:color="9FB3C8"/>
          <w:insideH w:val="single" w:sz="2" w:space="0" w:color="9FB3C8"/>
          <w:insideV w:val="single" w:sz="2" w:space="0" w:color="9FB3C8"/>
        </w:tblBorders>
        <w:tblCellMar>
          <w:left w:w="10" w:type="dxa"/>
          <w:right w:w="10" w:type="dxa"/>
        </w:tblCellMar>
        <w:tblLook w:val="0000" w:firstRow="0" w:lastRow="0" w:firstColumn="0" w:lastColumn="0" w:noHBand="0" w:noVBand="0"/>
      </w:tblPr>
      <w:tblGrid>
        <w:gridCol w:w="1500"/>
        <w:gridCol w:w="4560"/>
        <w:gridCol w:w="3300"/>
      </w:tblGrid>
      <w:tr w:rsidR="005150D9" w:rsidRPr="00121667" w14:paraId="288B17D9" w14:textId="77777777">
        <w:tblPrEx>
          <w:tblCellMar>
            <w:top w:w="0" w:type="dxa"/>
            <w:bottom w:w="0" w:type="dxa"/>
          </w:tblCellMar>
        </w:tblPrEx>
        <w:trPr>
          <w:tblHeader/>
        </w:trPr>
        <w:tc>
          <w:tcPr>
            <w:tcW w:w="1500" w:type="dxa"/>
            <w:shd w:val="clear" w:color="auto" w:fill="1F3A5F"/>
            <w:tcMar>
              <w:top w:w="80" w:type="dxa"/>
              <w:left w:w="110" w:type="dxa"/>
              <w:bottom w:w="80" w:type="dxa"/>
              <w:right w:w="110" w:type="dxa"/>
            </w:tcMar>
            <w:vAlign w:val="center"/>
          </w:tcPr>
          <w:p w14:paraId="35A93AAF" w14:textId="77777777" w:rsidR="005150D9" w:rsidRPr="00121667" w:rsidRDefault="00000000">
            <w:pPr>
              <w:rPr>
                <w:rFonts w:ascii="Arial" w:hAnsi="Arial" w:cs="Arial"/>
                <w:sz w:val="22"/>
                <w:szCs w:val="22"/>
              </w:rPr>
            </w:pPr>
            <w:r w:rsidRPr="00121667">
              <w:rPr>
                <w:rFonts w:ascii="Arial" w:hAnsi="Arial" w:cs="Arial"/>
                <w:b/>
                <w:bCs/>
                <w:color w:val="FFFFFF"/>
                <w:sz w:val="22"/>
                <w:szCs w:val="22"/>
              </w:rPr>
              <w:t>Case</w:t>
            </w:r>
          </w:p>
        </w:tc>
        <w:tc>
          <w:tcPr>
            <w:tcW w:w="4560" w:type="dxa"/>
            <w:shd w:val="clear" w:color="auto" w:fill="1F3A5F"/>
            <w:tcMar>
              <w:top w:w="80" w:type="dxa"/>
              <w:left w:w="110" w:type="dxa"/>
              <w:bottom w:w="80" w:type="dxa"/>
              <w:right w:w="110" w:type="dxa"/>
            </w:tcMar>
            <w:vAlign w:val="center"/>
          </w:tcPr>
          <w:p w14:paraId="383D1F6B" w14:textId="77777777" w:rsidR="005150D9" w:rsidRPr="00121667" w:rsidRDefault="00000000">
            <w:pPr>
              <w:rPr>
                <w:rFonts w:ascii="Arial" w:hAnsi="Arial" w:cs="Arial"/>
                <w:sz w:val="22"/>
                <w:szCs w:val="22"/>
              </w:rPr>
            </w:pPr>
            <w:r w:rsidRPr="00121667">
              <w:rPr>
                <w:rFonts w:ascii="Arial" w:hAnsi="Arial" w:cs="Arial"/>
                <w:b/>
                <w:bCs/>
                <w:color w:val="FFFFFF"/>
                <w:sz w:val="22"/>
                <w:szCs w:val="22"/>
              </w:rPr>
              <w:t>What was at issue</w:t>
            </w:r>
          </w:p>
        </w:tc>
        <w:tc>
          <w:tcPr>
            <w:tcW w:w="3300" w:type="dxa"/>
            <w:shd w:val="clear" w:color="auto" w:fill="1F3A5F"/>
            <w:tcMar>
              <w:top w:w="80" w:type="dxa"/>
              <w:left w:w="110" w:type="dxa"/>
              <w:bottom w:w="80" w:type="dxa"/>
              <w:right w:w="110" w:type="dxa"/>
            </w:tcMar>
            <w:vAlign w:val="center"/>
          </w:tcPr>
          <w:p w14:paraId="1BEB2F87" w14:textId="77777777" w:rsidR="005150D9" w:rsidRPr="00121667" w:rsidRDefault="00000000">
            <w:pPr>
              <w:rPr>
                <w:rFonts w:ascii="Arial" w:hAnsi="Arial" w:cs="Arial"/>
                <w:sz w:val="22"/>
                <w:szCs w:val="22"/>
              </w:rPr>
            </w:pPr>
            <w:r w:rsidRPr="00121667">
              <w:rPr>
                <w:rFonts w:ascii="Arial" w:hAnsi="Arial" w:cs="Arial"/>
                <w:b/>
                <w:bCs/>
                <w:color w:val="FFFFFF"/>
                <w:sz w:val="22"/>
                <w:szCs w:val="22"/>
              </w:rPr>
              <w:t>Outcome</w:t>
            </w:r>
          </w:p>
        </w:tc>
      </w:tr>
      <w:tr w:rsidR="005150D9" w:rsidRPr="00121667" w14:paraId="49CAA31C" w14:textId="77777777">
        <w:tblPrEx>
          <w:tblCellMar>
            <w:top w:w="0" w:type="dxa"/>
            <w:bottom w:w="0" w:type="dxa"/>
          </w:tblCellMar>
        </w:tblPrEx>
        <w:tc>
          <w:tcPr>
            <w:tcW w:w="1500" w:type="dxa"/>
            <w:tcMar>
              <w:top w:w="70" w:type="dxa"/>
              <w:left w:w="110" w:type="dxa"/>
              <w:bottom w:w="70" w:type="dxa"/>
              <w:right w:w="110" w:type="dxa"/>
            </w:tcMar>
            <w:vAlign w:val="center"/>
          </w:tcPr>
          <w:p w14:paraId="7B1EB672" w14:textId="77777777" w:rsidR="005150D9" w:rsidRPr="00121667" w:rsidRDefault="00000000">
            <w:pPr>
              <w:rPr>
                <w:rFonts w:ascii="Arial" w:hAnsi="Arial" w:cs="Arial"/>
                <w:sz w:val="22"/>
                <w:szCs w:val="22"/>
              </w:rPr>
            </w:pPr>
            <w:r w:rsidRPr="00121667">
              <w:rPr>
                <w:rFonts w:ascii="Arial" w:hAnsi="Arial" w:cs="Arial"/>
                <w:b/>
                <w:bCs/>
                <w:sz w:val="22"/>
                <w:szCs w:val="22"/>
              </w:rPr>
              <w:t>Cineplex</w:t>
            </w:r>
          </w:p>
        </w:tc>
        <w:tc>
          <w:tcPr>
            <w:tcW w:w="4560" w:type="dxa"/>
            <w:tcMar>
              <w:top w:w="70" w:type="dxa"/>
              <w:left w:w="110" w:type="dxa"/>
              <w:bottom w:w="70" w:type="dxa"/>
              <w:right w:w="110" w:type="dxa"/>
            </w:tcMar>
            <w:vAlign w:val="center"/>
          </w:tcPr>
          <w:p w14:paraId="644A32B7" w14:textId="77777777" w:rsidR="005150D9" w:rsidRPr="00121667" w:rsidRDefault="00000000">
            <w:pPr>
              <w:rPr>
                <w:rFonts w:ascii="Arial" w:hAnsi="Arial" w:cs="Arial"/>
                <w:sz w:val="22"/>
                <w:szCs w:val="22"/>
              </w:rPr>
            </w:pPr>
            <w:r w:rsidRPr="00121667">
              <w:rPr>
                <w:rFonts w:ascii="Arial" w:hAnsi="Arial" w:cs="Arial"/>
                <w:sz w:val="22"/>
                <w:szCs w:val="22"/>
              </w:rPr>
              <w:t>A mandatory online booking fee was excluded from the ticket price shown and only became visible when a customer scrolled down the page.</w:t>
            </w:r>
          </w:p>
        </w:tc>
        <w:tc>
          <w:tcPr>
            <w:tcW w:w="3300" w:type="dxa"/>
            <w:tcMar>
              <w:top w:w="70" w:type="dxa"/>
              <w:left w:w="110" w:type="dxa"/>
              <w:bottom w:w="70" w:type="dxa"/>
              <w:right w:w="110" w:type="dxa"/>
            </w:tcMar>
            <w:vAlign w:val="center"/>
          </w:tcPr>
          <w:p w14:paraId="0D8887B3" w14:textId="77777777" w:rsidR="005150D9" w:rsidRPr="00121667" w:rsidRDefault="00000000">
            <w:pPr>
              <w:rPr>
                <w:rFonts w:ascii="Arial" w:hAnsi="Arial" w:cs="Arial"/>
                <w:sz w:val="22"/>
                <w:szCs w:val="22"/>
              </w:rPr>
            </w:pPr>
            <w:r w:rsidRPr="00121667">
              <w:rPr>
                <w:rFonts w:ascii="Arial" w:hAnsi="Arial" w:cs="Arial"/>
                <w:sz w:val="22"/>
                <w:szCs w:val="22"/>
              </w:rPr>
              <w:t xml:space="preserve">Administrative penalties of more than </w:t>
            </w:r>
            <w:r w:rsidRPr="00121667">
              <w:rPr>
                <w:rFonts w:ascii="Arial" w:hAnsi="Arial" w:cs="Arial"/>
                <w:b/>
                <w:bCs/>
                <w:sz w:val="22"/>
                <w:szCs w:val="22"/>
              </w:rPr>
              <w:t>$38.9 million</w:t>
            </w:r>
            <w:r w:rsidRPr="00121667">
              <w:rPr>
                <w:rFonts w:ascii="Arial" w:hAnsi="Arial" w:cs="Arial"/>
                <w:sz w:val="22"/>
                <w:szCs w:val="22"/>
              </w:rPr>
              <w:t xml:space="preserve"> (plus costs). Upheld on appeal.</w:t>
            </w:r>
          </w:p>
        </w:tc>
      </w:tr>
      <w:tr w:rsidR="005150D9" w:rsidRPr="00121667" w14:paraId="7D85B3BA" w14:textId="77777777">
        <w:tblPrEx>
          <w:tblCellMar>
            <w:top w:w="0" w:type="dxa"/>
            <w:bottom w:w="0" w:type="dxa"/>
          </w:tblCellMar>
        </w:tblPrEx>
        <w:tc>
          <w:tcPr>
            <w:tcW w:w="1500" w:type="dxa"/>
            <w:shd w:val="clear" w:color="auto" w:fill="F4F7FA"/>
            <w:tcMar>
              <w:top w:w="70" w:type="dxa"/>
              <w:left w:w="110" w:type="dxa"/>
              <w:bottom w:w="70" w:type="dxa"/>
              <w:right w:w="110" w:type="dxa"/>
            </w:tcMar>
            <w:vAlign w:val="center"/>
          </w:tcPr>
          <w:p w14:paraId="7DE05524" w14:textId="77777777" w:rsidR="005150D9" w:rsidRPr="00121667" w:rsidRDefault="00000000">
            <w:pPr>
              <w:rPr>
                <w:rFonts w:ascii="Arial" w:hAnsi="Arial" w:cs="Arial"/>
                <w:sz w:val="22"/>
                <w:szCs w:val="22"/>
              </w:rPr>
            </w:pPr>
            <w:r w:rsidRPr="00121667">
              <w:rPr>
                <w:rFonts w:ascii="Arial" w:hAnsi="Arial" w:cs="Arial"/>
                <w:b/>
                <w:bCs/>
                <w:sz w:val="22"/>
                <w:szCs w:val="22"/>
              </w:rPr>
              <w:t>DoorDash</w:t>
            </w:r>
          </w:p>
        </w:tc>
        <w:tc>
          <w:tcPr>
            <w:tcW w:w="4560" w:type="dxa"/>
            <w:shd w:val="clear" w:color="auto" w:fill="F4F7FA"/>
            <w:tcMar>
              <w:top w:w="70" w:type="dxa"/>
              <w:left w:w="110" w:type="dxa"/>
              <w:bottom w:w="70" w:type="dxa"/>
              <w:right w:w="110" w:type="dxa"/>
            </w:tcMar>
            <w:vAlign w:val="center"/>
          </w:tcPr>
          <w:p w14:paraId="222F3C78" w14:textId="0A013D84" w:rsidR="005150D9" w:rsidRPr="00121667" w:rsidRDefault="00000000">
            <w:pPr>
              <w:rPr>
                <w:rFonts w:ascii="Arial" w:hAnsi="Arial" w:cs="Arial"/>
                <w:sz w:val="22"/>
                <w:szCs w:val="22"/>
              </w:rPr>
            </w:pPr>
            <w:r w:rsidRPr="00121667">
              <w:rPr>
                <w:rFonts w:ascii="Arial" w:hAnsi="Arial" w:cs="Arial"/>
                <w:sz w:val="22"/>
                <w:szCs w:val="22"/>
              </w:rPr>
              <w:t xml:space="preserve">Advertised prices and discounts alleged to be unattainable because of multiple mandatory fees </w:t>
            </w:r>
            <w:r w:rsidR="00121667">
              <w:rPr>
                <w:rFonts w:ascii="Arial" w:hAnsi="Arial" w:cs="Arial"/>
                <w:sz w:val="22"/>
                <w:szCs w:val="22"/>
              </w:rPr>
              <w:t>(</w:t>
            </w:r>
            <w:r w:rsidRPr="00121667">
              <w:rPr>
                <w:rFonts w:ascii="Arial" w:hAnsi="Arial" w:cs="Arial"/>
                <w:sz w:val="22"/>
                <w:szCs w:val="22"/>
              </w:rPr>
              <w:t xml:space="preserve">service, delivery, </w:t>
            </w:r>
            <w:proofErr w:type="gramStart"/>
            <w:r w:rsidRPr="00121667">
              <w:rPr>
                <w:rFonts w:ascii="Arial" w:hAnsi="Arial" w:cs="Arial"/>
                <w:sz w:val="22"/>
                <w:szCs w:val="22"/>
              </w:rPr>
              <w:t>expanded-range</w:t>
            </w:r>
            <w:proofErr w:type="gramEnd"/>
            <w:r w:rsidRPr="00121667">
              <w:rPr>
                <w:rFonts w:ascii="Arial" w:hAnsi="Arial" w:cs="Arial"/>
                <w:sz w:val="22"/>
                <w:szCs w:val="22"/>
              </w:rPr>
              <w:t xml:space="preserve">, </w:t>
            </w:r>
            <w:proofErr w:type="gramStart"/>
            <w:r w:rsidRPr="00121667">
              <w:rPr>
                <w:rFonts w:ascii="Arial" w:hAnsi="Arial" w:cs="Arial"/>
                <w:sz w:val="22"/>
                <w:szCs w:val="22"/>
              </w:rPr>
              <w:t>small-order</w:t>
            </w:r>
            <w:proofErr w:type="gramEnd"/>
            <w:r w:rsidRPr="00121667">
              <w:rPr>
                <w:rFonts w:ascii="Arial" w:hAnsi="Arial" w:cs="Arial"/>
                <w:sz w:val="22"/>
                <w:szCs w:val="22"/>
              </w:rPr>
              <w:t xml:space="preserve">, and </w:t>
            </w:r>
            <w:proofErr w:type="gramStart"/>
            <w:r w:rsidRPr="00121667">
              <w:rPr>
                <w:rFonts w:ascii="Arial" w:hAnsi="Arial" w:cs="Arial"/>
                <w:sz w:val="22"/>
                <w:szCs w:val="22"/>
              </w:rPr>
              <w:t>regulatory-response</w:t>
            </w:r>
            <w:proofErr w:type="gramEnd"/>
            <w:r w:rsidRPr="00121667">
              <w:rPr>
                <w:rFonts w:ascii="Arial" w:hAnsi="Arial" w:cs="Arial"/>
                <w:sz w:val="22"/>
                <w:szCs w:val="22"/>
              </w:rPr>
              <w:t xml:space="preserve"> fees</w:t>
            </w:r>
            <w:r w:rsidR="00121667">
              <w:rPr>
                <w:rFonts w:ascii="Arial" w:hAnsi="Arial" w:cs="Arial"/>
                <w:sz w:val="22"/>
                <w:szCs w:val="22"/>
              </w:rPr>
              <w:t xml:space="preserve">, etc.) </w:t>
            </w:r>
            <w:r w:rsidRPr="00121667">
              <w:rPr>
                <w:rFonts w:ascii="Arial" w:hAnsi="Arial" w:cs="Arial"/>
                <w:sz w:val="22"/>
                <w:szCs w:val="22"/>
              </w:rPr>
              <w:t>added at checkout.</w:t>
            </w:r>
          </w:p>
        </w:tc>
        <w:tc>
          <w:tcPr>
            <w:tcW w:w="3300" w:type="dxa"/>
            <w:shd w:val="clear" w:color="auto" w:fill="F4F7FA"/>
            <w:tcMar>
              <w:top w:w="70" w:type="dxa"/>
              <w:left w:w="110" w:type="dxa"/>
              <w:bottom w:w="70" w:type="dxa"/>
              <w:right w:w="110" w:type="dxa"/>
            </w:tcMar>
            <w:vAlign w:val="center"/>
          </w:tcPr>
          <w:p w14:paraId="092F7AC6" w14:textId="77777777" w:rsidR="005150D9" w:rsidRPr="00121667" w:rsidRDefault="00000000">
            <w:pPr>
              <w:rPr>
                <w:rFonts w:ascii="Arial" w:hAnsi="Arial" w:cs="Arial"/>
                <w:sz w:val="22"/>
                <w:szCs w:val="22"/>
              </w:rPr>
            </w:pPr>
            <w:r w:rsidRPr="00121667">
              <w:rPr>
                <w:rFonts w:ascii="Arial" w:hAnsi="Arial" w:cs="Arial"/>
                <w:sz w:val="22"/>
                <w:szCs w:val="22"/>
              </w:rPr>
              <w:t>Bureau proceeding before the Tribunal, seeking penalties and restitution. Ongoing.</w:t>
            </w:r>
          </w:p>
        </w:tc>
      </w:tr>
      <w:tr w:rsidR="005150D9" w:rsidRPr="00121667" w14:paraId="419B7AEF" w14:textId="77777777">
        <w:tblPrEx>
          <w:tblCellMar>
            <w:top w:w="0" w:type="dxa"/>
            <w:bottom w:w="0" w:type="dxa"/>
          </w:tblCellMar>
        </w:tblPrEx>
        <w:tc>
          <w:tcPr>
            <w:tcW w:w="1500" w:type="dxa"/>
            <w:tcMar>
              <w:top w:w="70" w:type="dxa"/>
              <w:left w:w="110" w:type="dxa"/>
              <w:bottom w:w="70" w:type="dxa"/>
              <w:right w:w="110" w:type="dxa"/>
            </w:tcMar>
            <w:vAlign w:val="center"/>
          </w:tcPr>
          <w:p w14:paraId="0D4CD073" w14:textId="77777777" w:rsidR="005150D9" w:rsidRPr="00121667" w:rsidRDefault="00000000">
            <w:pPr>
              <w:rPr>
                <w:rFonts w:ascii="Arial" w:hAnsi="Arial" w:cs="Arial"/>
                <w:sz w:val="22"/>
                <w:szCs w:val="22"/>
              </w:rPr>
            </w:pPr>
            <w:r w:rsidRPr="00121667">
              <w:rPr>
                <w:rFonts w:ascii="Arial" w:hAnsi="Arial" w:cs="Arial"/>
                <w:b/>
                <w:bCs/>
                <w:sz w:val="22"/>
                <w:szCs w:val="22"/>
              </w:rPr>
              <w:t>Canada's Wonderland</w:t>
            </w:r>
          </w:p>
        </w:tc>
        <w:tc>
          <w:tcPr>
            <w:tcW w:w="4560" w:type="dxa"/>
            <w:tcMar>
              <w:top w:w="70" w:type="dxa"/>
              <w:left w:w="110" w:type="dxa"/>
              <w:bottom w:w="70" w:type="dxa"/>
              <w:right w:w="110" w:type="dxa"/>
            </w:tcMar>
            <w:vAlign w:val="center"/>
          </w:tcPr>
          <w:p w14:paraId="56E57237" w14:textId="77777777" w:rsidR="005150D9" w:rsidRPr="00121667" w:rsidRDefault="00000000">
            <w:pPr>
              <w:rPr>
                <w:rFonts w:ascii="Arial" w:hAnsi="Arial" w:cs="Arial"/>
                <w:sz w:val="22"/>
                <w:szCs w:val="22"/>
              </w:rPr>
            </w:pPr>
            <w:r w:rsidRPr="00121667">
              <w:rPr>
                <w:rFonts w:ascii="Arial" w:hAnsi="Arial" w:cs="Arial"/>
                <w:sz w:val="22"/>
                <w:szCs w:val="22"/>
              </w:rPr>
              <w:t xml:space="preserve">Online ticket and product prices </w:t>
            </w:r>
            <w:proofErr w:type="gramStart"/>
            <w:r w:rsidRPr="00121667">
              <w:rPr>
                <w:rFonts w:ascii="Arial" w:hAnsi="Arial" w:cs="Arial"/>
                <w:sz w:val="22"/>
                <w:szCs w:val="22"/>
              </w:rPr>
              <w:t>alleged</w:t>
            </w:r>
            <w:proofErr w:type="gramEnd"/>
            <w:r w:rsidRPr="00121667">
              <w:rPr>
                <w:rFonts w:ascii="Arial" w:hAnsi="Arial" w:cs="Arial"/>
                <w:sz w:val="22"/>
                <w:szCs w:val="22"/>
              </w:rPr>
              <w:t xml:space="preserve"> to exclude fixed, mandatory processing fees. </w:t>
            </w:r>
            <w:r w:rsidRPr="00121667">
              <w:rPr>
                <w:rFonts w:ascii="Arial" w:hAnsi="Arial" w:cs="Arial"/>
                <w:sz w:val="22"/>
                <w:szCs w:val="22"/>
              </w:rPr>
              <w:lastRenderedPageBreak/>
              <w:t>Notably, the Bureau objected even to showing the fee as a separate line item (price + processing fee).</w:t>
            </w:r>
          </w:p>
        </w:tc>
        <w:tc>
          <w:tcPr>
            <w:tcW w:w="3300" w:type="dxa"/>
            <w:tcMar>
              <w:top w:w="70" w:type="dxa"/>
              <w:left w:w="110" w:type="dxa"/>
              <w:bottom w:w="70" w:type="dxa"/>
              <w:right w:w="110" w:type="dxa"/>
            </w:tcMar>
            <w:vAlign w:val="center"/>
          </w:tcPr>
          <w:p w14:paraId="3B5B88CA" w14:textId="77777777" w:rsidR="005150D9" w:rsidRPr="00121667" w:rsidRDefault="00000000">
            <w:pPr>
              <w:rPr>
                <w:rFonts w:ascii="Arial" w:hAnsi="Arial" w:cs="Arial"/>
                <w:sz w:val="22"/>
                <w:szCs w:val="22"/>
              </w:rPr>
            </w:pPr>
            <w:r w:rsidRPr="00121667">
              <w:rPr>
                <w:rFonts w:ascii="Arial" w:hAnsi="Arial" w:cs="Arial"/>
                <w:sz w:val="22"/>
                <w:szCs w:val="22"/>
              </w:rPr>
              <w:lastRenderedPageBreak/>
              <w:t xml:space="preserve">Bureau seeking penalties and restitution. Pending. Its stated </w:t>
            </w:r>
            <w:r w:rsidRPr="00121667">
              <w:rPr>
                <w:rFonts w:ascii="Arial" w:hAnsi="Arial" w:cs="Arial"/>
                <w:sz w:val="22"/>
                <w:szCs w:val="22"/>
              </w:rPr>
              <w:lastRenderedPageBreak/>
              <w:t xml:space="preserve">position: </w:t>
            </w:r>
            <w:r w:rsidRPr="00121667">
              <w:rPr>
                <w:rFonts w:ascii="Arial" w:hAnsi="Arial" w:cs="Arial"/>
                <w:b/>
                <w:bCs/>
                <w:sz w:val="22"/>
                <w:szCs w:val="22"/>
              </w:rPr>
              <w:t>all-in pricing is required.</w:t>
            </w:r>
          </w:p>
        </w:tc>
      </w:tr>
      <w:tr w:rsidR="005150D9" w:rsidRPr="00121667" w14:paraId="604BAAB7" w14:textId="77777777">
        <w:tblPrEx>
          <w:tblCellMar>
            <w:top w:w="0" w:type="dxa"/>
            <w:bottom w:w="0" w:type="dxa"/>
          </w:tblCellMar>
        </w:tblPrEx>
        <w:tc>
          <w:tcPr>
            <w:tcW w:w="1500" w:type="dxa"/>
            <w:shd w:val="clear" w:color="auto" w:fill="F4F7FA"/>
            <w:tcMar>
              <w:top w:w="70" w:type="dxa"/>
              <w:left w:w="110" w:type="dxa"/>
              <w:bottom w:w="70" w:type="dxa"/>
              <w:right w:w="110" w:type="dxa"/>
            </w:tcMar>
            <w:vAlign w:val="center"/>
          </w:tcPr>
          <w:p w14:paraId="04C7FC98" w14:textId="77777777" w:rsidR="005150D9" w:rsidRPr="00121667" w:rsidRDefault="00000000">
            <w:pPr>
              <w:rPr>
                <w:rFonts w:ascii="Arial" w:hAnsi="Arial" w:cs="Arial"/>
                <w:sz w:val="22"/>
                <w:szCs w:val="22"/>
              </w:rPr>
            </w:pPr>
            <w:r w:rsidRPr="00121667">
              <w:rPr>
                <w:rFonts w:ascii="Arial" w:hAnsi="Arial" w:cs="Arial"/>
                <w:b/>
                <w:bCs/>
                <w:sz w:val="22"/>
                <w:szCs w:val="22"/>
              </w:rPr>
              <w:t>SiriusXM</w:t>
            </w:r>
          </w:p>
        </w:tc>
        <w:tc>
          <w:tcPr>
            <w:tcW w:w="4560" w:type="dxa"/>
            <w:shd w:val="clear" w:color="auto" w:fill="F4F7FA"/>
            <w:tcMar>
              <w:top w:w="70" w:type="dxa"/>
              <w:left w:w="110" w:type="dxa"/>
              <w:bottom w:w="70" w:type="dxa"/>
              <w:right w:w="110" w:type="dxa"/>
            </w:tcMar>
            <w:vAlign w:val="center"/>
          </w:tcPr>
          <w:p w14:paraId="0731F790" w14:textId="77777777" w:rsidR="005150D9" w:rsidRPr="00121667" w:rsidRDefault="00000000">
            <w:pPr>
              <w:rPr>
                <w:rFonts w:ascii="Arial" w:hAnsi="Arial" w:cs="Arial"/>
                <w:sz w:val="22"/>
                <w:szCs w:val="22"/>
              </w:rPr>
            </w:pPr>
            <w:r w:rsidRPr="00121667">
              <w:rPr>
                <w:rFonts w:ascii="Arial" w:hAnsi="Arial" w:cs="Arial"/>
                <w:sz w:val="22"/>
                <w:szCs w:val="22"/>
              </w:rPr>
              <w:t>Advertised subscription prices alleged unattainable because mandatory music-royalty and administration fees raised the real monthly cost by roughly 10–20%.</w:t>
            </w:r>
          </w:p>
        </w:tc>
        <w:tc>
          <w:tcPr>
            <w:tcW w:w="3300" w:type="dxa"/>
            <w:shd w:val="clear" w:color="auto" w:fill="F4F7FA"/>
            <w:tcMar>
              <w:top w:w="70" w:type="dxa"/>
              <w:left w:w="110" w:type="dxa"/>
              <w:bottom w:w="70" w:type="dxa"/>
              <w:right w:w="110" w:type="dxa"/>
            </w:tcMar>
            <w:vAlign w:val="center"/>
          </w:tcPr>
          <w:p w14:paraId="22F30676" w14:textId="77777777" w:rsidR="005150D9" w:rsidRPr="00121667" w:rsidRDefault="00000000">
            <w:pPr>
              <w:rPr>
                <w:rFonts w:ascii="Arial" w:hAnsi="Arial" w:cs="Arial"/>
                <w:sz w:val="22"/>
                <w:szCs w:val="22"/>
              </w:rPr>
            </w:pPr>
            <w:r w:rsidRPr="00121667">
              <w:rPr>
                <w:rFonts w:ascii="Arial" w:hAnsi="Arial" w:cs="Arial"/>
                <w:sz w:val="22"/>
                <w:szCs w:val="22"/>
              </w:rPr>
              <w:t xml:space="preserve">Consent agreement (2024): </w:t>
            </w:r>
            <w:r w:rsidRPr="00121667">
              <w:rPr>
                <w:rFonts w:ascii="Arial" w:hAnsi="Arial" w:cs="Arial"/>
                <w:b/>
                <w:bCs/>
                <w:sz w:val="22"/>
                <w:szCs w:val="22"/>
              </w:rPr>
              <w:t>$3.3 million</w:t>
            </w:r>
            <w:r w:rsidRPr="00121667">
              <w:rPr>
                <w:rFonts w:ascii="Arial" w:hAnsi="Arial" w:cs="Arial"/>
                <w:sz w:val="22"/>
                <w:szCs w:val="22"/>
              </w:rPr>
              <w:t xml:space="preserve"> penalty, cease </w:t>
            </w:r>
            <w:proofErr w:type="gramStart"/>
            <w:r w:rsidRPr="00121667">
              <w:rPr>
                <w:rFonts w:ascii="Arial" w:hAnsi="Arial" w:cs="Arial"/>
                <w:sz w:val="22"/>
                <w:szCs w:val="22"/>
              </w:rPr>
              <w:t>the conduct</w:t>
            </w:r>
            <w:proofErr w:type="gramEnd"/>
            <w:r w:rsidRPr="00121667">
              <w:rPr>
                <w:rFonts w:ascii="Arial" w:hAnsi="Arial" w:cs="Arial"/>
                <w:sz w:val="22"/>
                <w:szCs w:val="22"/>
              </w:rPr>
              <w:t>, and enhanced compliance measures.</w:t>
            </w:r>
          </w:p>
        </w:tc>
      </w:tr>
    </w:tbl>
    <w:p w14:paraId="51E1241E" w14:textId="77777777" w:rsidR="005150D9" w:rsidRPr="00121667" w:rsidRDefault="005150D9">
      <w:pPr>
        <w:spacing w:after="80"/>
        <w:rPr>
          <w:rFonts w:ascii="Arial" w:hAnsi="Arial" w:cs="Arial"/>
          <w:sz w:val="22"/>
          <w:szCs w:val="22"/>
        </w:rPr>
      </w:pPr>
    </w:p>
    <w:tbl>
      <w:tblPr>
        <w:tblW w:w="9360" w:type="dxa"/>
        <w:tblBorders>
          <w:top w:val="single" w:sz="2" w:space="0" w:color="E8EEF4"/>
          <w:left w:val="single" w:sz="24" w:space="0" w:color="34618C"/>
          <w:bottom w:val="single" w:sz="2" w:space="0" w:color="E8EEF4"/>
          <w:right w:val="single" w:sz="2" w:space="0" w:color="E8EEF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150D9" w:rsidRPr="00D02C25" w14:paraId="3940B06E" w14:textId="77777777">
        <w:tblPrEx>
          <w:tblCellMar>
            <w:top w:w="0" w:type="dxa"/>
            <w:bottom w:w="0" w:type="dxa"/>
          </w:tblCellMar>
        </w:tblPrEx>
        <w:tc>
          <w:tcPr>
            <w:tcW w:w="9360" w:type="dxa"/>
            <w:shd w:val="clear" w:color="auto" w:fill="E8EEF4"/>
            <w:tcMar>
              <w:top w:w="140" w:type="dxa"/>
              <w:left w:w="200" w:type="dxa"/>
              <w:bottom w:w="140" w:type="dxa"/>
              <w:right w:w="200" w:type="dxa"/>
            </w:tcMar>
          </w:tcPr>
          <w:p w14:paraId="4533737B" w14:textId="77777777" w:rsidR="005150D9" w:rsidRPr="00D02C25" w:rsidRDefault="00000000">
            <w:pPr>
              <w:spacing w:after="60"/>
              <w:rPr>
                <w:rFonts w:ascii="Arial" w:hAnsi="Arial" w:cs="Arial"/>
                <w:i/>
                <w:iCs/>
                <w:color w:val="000000" w:themeColor="text1"/>
                <w:sz w:val="22"/>
                <w:szCs w:val="22"/>
              </w:rPr>
            </w:pPr>
            <w:r w:rsidRPr="00D02C25">
              <w:rPr>
                <w:rFonts w:ascii="Arial" w:hAnsi="Arial" w:cs="Arial"/>
                <w:b/>
                <w:bCs/>
                <w:i/>
                <w:iCs/>
                <w:color w:val="000000" w:themeColor="text1"/>
                <w:sz w:val="22"/>
                <w:szCs w:val="22"/>
              </w:rPr>
              <w:t>The through-line for storage</w:t>
            </w:r>
          </w:p>
          <w:p w14:paraId="61E214B1" w14:textId="21EEE7CD" w:rsidR="005150D9" w:rsidRPr="00D02C25" w:rsidRDefault="00000000">
            <w:pPr>
              <w:spacing w:line="276" w:lineRule="auto"/>
              <w:rPr>
                <w:rFonts w:ascii="Arial" w:hAnsi="Arial" w:cs="Arial"/>
                <w:i/>
                <w:iCs/>
                <w:color w:val="000000" w:themeColor="text1"/>
                <w:sz w:val="22"/>
                <w:szCs w:val="22"/>
              </w:rPr>
            </w:pPr>
            <w:r w:rsidRPr="00D02C25">
              <w:rPr>
                <w:rFonts w:ascii="Arial" w:hAnsi="Arial" w:cs="Arial"/>
                <w:i/>
                <w:iCs/>
                <w:color w:val="000000" w:themeColor="text1"/>
                <w:sz w:val="22"/>
                <w:szCs w:val="22"/>
              </w:rPr>
              <w:t>In each case</w:t>
            </w:r>
            <w:r w:rsidR="00121667" w:rsidRPr="00D02C25">
              <w:rPr>
                <w:rFonts w:ascii="Arial" w:hAnsi="Arial" w:cs="Arial"/>
                <w:i/>
                <w:iCs/>
                <w:color w:val="000000" w:themeColor="text1"/>
                <w:sz w:val="22"/>
                <w:szCs w:val="22"/>
              </w:rPr>
              <w:t>,</w:t>
            </w:r>
            <w:r w:rsidRPr="00D02C25">
              <w:rPr>
                <w:rFonts w:ascii="Arial" w:hAnsi="Arial" w:cs="Arial"/>
                <w:i/>
                <w:iCs/>
                <w:color w:val="000000" w:themeColor="text1"/>
                <w:sz w:val="22"/>
                <w:szCs w:val="22"/>
              </w:rPr>
              <w:t xml:space="preserve"> the problem was the same</w:t>
            </w:r>
            <w:r w:rsidR="00121667" w:rsidRPr="00D02C25">
              <w:rPr>
                <w:rFonts w:ascii="Arial" w:hAnsi="Arial" w:cs="Arial"/>
                <w:i/>
                <w:iCs/>
                <w:color w:val="000000" w:themeColor="text1"/>
                <w:sz w:val="22"/>
                <w:szCs w:val="22"/>
              </w:rPr>
              <w:t xml:space="preserve">, as in self-storage: a headline number that a customer could not actually transact </w:t>
            </w:r>
            <w:proofErr w:type="gramStart"/>
            <w:r w:rsidR="00121667" w:rsidRPr="00D02C25">
              <w:rPr>
                <w:rFonts w:ascii="Arial" w:hAnsi="Arial" w:cs="Arial"/>
                <w:i/>
                <w:iCs/>
                <w:color w:val="000000" w:themeColor="text1"/>
                <w:sz w:val="22"/>
                <w:szCs w:val="22"/>
              </w:rPr>
              <w:t>at</w:t>
            </w:r>
            <w:proofErr w:type="gramEnd"/>
            <w:r w:rsidR="00121667" w:rsidRPr="00D02C25">
              <w:rPr>
                <w:rFonts w:ascii="Arial" w:hAnsi="Arial" w:cs="Arial"/>
                <w:i/>
                <w:iCs/>
                <w:color w:val="000000" w:themeColor="text1"/>
                <w:sz w:val="22"/>
                <w:szCs w:val="22"/>
              </w:rPr>
              <w:t xml:space="preserve">, because a fixed, unavoidable fee sat outside it, </w:t>
            </w:r>
            <w:r w:rsidRPr="00D02C25">
              <w:rPr>
                <w:rFonts w:ascii="Arial" w:hAnsi="Arial" w:cs="Arial"/>
                <w:i/>
                <w:iCs/>
                <w:color w:val="000000" w:themeColor="text1"/>
                <w:sz w:val="22"/>
                <w:szCs w:val="22"/>
              </w:rPr>
              <w:t>disclosed late, in fine print, or as a separate line. The Wonderland case is the pointed one: the Bureau is pressing the view that even a clearly itemized “price + fee” breakdown is not enough, and that the price shown must be all-in.</w:t>
            </w:r>
          </w:p>
        </w:tc>
      </w:tr>
    </w:tbl>
    <w:p w14:paraId="52BBD735" w14:textId="77D4E0CA" w:rsidR="005150D9" w:rsidRPr="00D02C25" w:rsidRDefault="00D02C25">
      <w:pPr>
        <w:pStyle w:val="Heading1"/>
        <w:rPr>
          <w:rFonts w:ascii="Arial" w:hAnsi="Arial" w:cs="Arial"/>
          <w:color w:val="000000" w:themeColor="text1"/>
          <w:sz w:val="22"/>
          <w:szCs w:val="22"/>
        </w:rPr>
      </w:pPr>
      <w:r w:rsidRPr="00D02C25">
        <w:rPr>
          <w:rFonts w:ascii="Arial" w:hAnsi="Arial" w:cs="Arial"/>
          <w:color w:val="000000" w:themeColor="text1"/>
          <w:sz w:val="22"/>
          <w:szCs w:val="22"/>
        </w:rPr>
        <w:t>3. THE CORE RULE: THE PRICE YOU SHOW MUST BE ATTAINABLE</w:t>
      </w:r>
    </w:p>
    <w:p w14:paraId="0B3BF190" w14:textId="32E1F00D" w:rsidR="005150D9" w:rsidRPr="00D02C25" w:rsidRDefault="00000000">
      <w:pPr>
        <w:spacing w:after="140" w:line="276" w:lineRule="auto"/>
        <w:rPr>
          <w:rFonts w:ascii="Arial" w:hAnsi="Arial" w:cs="Arial"/>
          <w:color w:val="000000" w:themeColor="text1"/>
          <w:sz w:val="22"/>
          <w:szCs w:val="22"/>
        </w:rPr>
      </w:pPr>
      <w:r w:rsidRPr="00D02C25">
        <w:rPr>
          <w:rFonts w:ascii="Arial" w:hAnsi="Arial" w:cs="Arial"/>
          <w:color w:val="000000" w:themeColor="text1"/>
          <w:sz w:val="22"/>
          <w:szCs w:val="22"/>
        </w:rPr>
        <w:t xml:space="preserve">The </w:t>
      </w:r>
      <w:r w:rsidRPr="00D02C25">
        <w:rPr>
          <w:rFonts w:ascii="Arial" w:hAnsi="Arial" w:cs="Arial"/>
          <w:i/>
          <w:iCs/>
          <w:color w:val="000000" w:themeColor="text1"/>
          <w:sz w:val="22"/>
          <w:szCs w:val="22"/>
        </w:rPr>
        <w:t>Competition Act</w:t>
      </w:r>
      <w:r w:rsidRPr="00D02C25">
        <w:rPr>
          <w:rFonts w:ascii="Arial" w:hAnsi="Arial" w:cs="Arial"/>
          <w:color w:val="000000" w:themeColor="text1"/>
          <w:sz w:val="22"/>
          <w:szCs w:val="22"/>
        </w:rPr>
        <w:t xml:space="preserve"> deems a price representation to be misleading if a customer cannot actually obtain the product or service at that price because of undisclosed fixed, mandatory charges. Courts have distilled this into a four-part test. </w:t>
      </w:r>
      <w:r w:rsidR="00121667" w:rsidRPr="00D02C25">
        <w:rPr>
          <w:rFonts w:ascii="Arial" w:hAnsi="Arial" w:cs="Arial"/>
          <w:color w:val="000000" w:themeColor="text1"/>
          <w:sz w:val="22"/>
          <w:szCs w:val="22"/>
        </w:rPr>
        <w:t>The represented</w:t>
      </w:r>
      <w:r w:rsidRPr="00D02C25">
        <w:rPr>
          <w:rFonts w:ascii="Arial" w:hAnsi="Arial" w:cs="Arial"/>
          <w:color w:val="000000" w:themeColor="text1"/>
          <w:sz w:val="22"/>
          <w:szCs w:val="22"/>
        </w:rPr>
        <w:t xml:space="preserve"> price is misleading where </w:t>
      </w:r>
      <w:proofErr w:type="gramStart"/>
      <w:r w:rsidRPr="00D02C25">
        <w:rPr>
          <w:rFonts w:ascii="Arial" w:hAnsi="Arial" w:cs="Arial"/>
          <w:color w:val="000000" w:themeColor="text1"/>
          <w:sz w:val="22"/>
          <w:szCs w:val="22"/>
        </w:rPr>
        <w:t>all of</w:t>
      </w:r>
      <w:proofErr w:type="gramEnd"/>
      <w:r w:rsidRPr="00D02C25">
        <w:rPr>
          <w:rFonts w:ascii="Arial" w:hAnsi="Arial" w:cs="Arial"/>
          <w:color w:val="000000" w:themeColor="text1"/>
          <w:sz w:val="22"/>
          <w:szCs w:val="22"/>
        </w:rPr>
        <w:t xml:space="preserve"> the following are true:</w:t>
      </w:r>
    </w:p>
    <w:p w14:paraId="15AEDB9C" w14:textId="77777777" w:rsidR="005150D9" w:rsidRPr="00D02C25" w:rsidRDefault="00000000">
      <w:pPr>
        <w:pStyle w:val="ListParagraph"/>
        <w:numPr>
          <w:ilvl w:val="0"/>
          <w:numId w:val="3"/>
        </w:numPr>
        <w:spacing w:after="90" w:line="272" w:lineRule="auto"/>
        <w:rPr>
          <w:rFonts w:ascii="Arial" w:hAnsi="Arial" w:cs="Arial"/>
          <w:color w:val="000000" w:themeColor="text1"/>
          <w:sz w:val="22"/>
          <w:szCs w:val="22"/>
        </w:rPr>
      </w:pPr>
      <w:r w:rsidRPr="00D02C25">
        <w:rPr>
          <w:rFonts w:ascii="Arial" w:hAnsi="Arial" w:cs="Arial"/>
          <w:color w:val="000000" w:themeColor="text1"/>
          <w:sz w:val="22"/>
          <w:szCs w:val="22"/>
        </w:rPr>
        <w:t xml:space="preserve">the price is </w:t>
      </w:r>
      <w:r w:rsidRPr="00D02C25">
        <w:rPr>
          <w:rFonts w:ascii="Arial" w:hAnsi="Arial" w:cs="Arial"/>
          <w:b/>
          <w:bCs/>
          <w:color w:val="000000" w:themeColor="text1"/>
          <w:sz w:val="22"/>
          <w:szCs w:val="22"/>
        </w:rPr>
        <w:t>not attainable</w:t>
      </w:r>
      <w:r w:rsidRPr="00D02C25">
        <w:rPr>
          <w:rFonts w:ascii="Arial" w:hAnsi="Arial" w:cs="Arial"/>
          <w:color w:val="000000" w:themeColor="text1"/>
          <w:sz w:val="22"/>
          <w:szCs w:val="22"/>
        </w:rPr>
        <w:t xml:space="preserve"> because of an additional charge or fee;</w:t>
      </w:r>
    </w:p>
    <w:p w14:paraId="702BAF49" w14:textId="77777777" w:rsidR="005150D9" w:rsidRPr="00D02C25" w:rsidRDefault="00000000">
      <w:pPr>
        <w:pStyle w:val="ListParagraph"/>
        <w:numPr>
          <w:ilvl w:val="0"/>
          <w:numId w:val="3"/>
        </w:numPr>
        <w:spacing w:after="90" w:line="272" w:lineRule="auto"/>
        <w:rPr>
          <w:rFonts w:ascii="Arial" w:hAnsi="Arial" w:cs="Arial"/>
          <w:color w:val="000000" w:themeColor="text1"/>
          <w:sz w:val="22"/>
          <w:szCs w:val="22"/>
        </w:rPr>
      </w:pPr>
      <w:r w:rsidRPr="00D02C25">
        <w:rPr>
          <w:rFonts w:ascii="Arial" w:hAnsi="Arial" w:cs="Arial"/>
          <w:color w:val="000000" w:themeColor="text1"/>
          <w:sz w:val="22"/>
          <w:szCs w:val="22"/>
        </w:rPr>
        <w:t xml:space="preserve">the additional charge or fee is </w:t>
      </w:r>
      <w:r w:rsidRPr="00D02C25">
        <w:rPr>
          <w:rFonts w:ascii="Arial" w:hAnsi="Arial" w:cs="Arial"/>
          <w:b/>
          <w:bCs/>
          <w:color w:val="000000" w:themeColor="text1"/>
          <w:sz w:val="22"/>
          <w:szCs w:val="22"/>
        </w:rPr>
        <w:t>fixed</w:t>
      </w:r>
      <w:r w:rsidRPr="00D02C25">
        <w:rPr>
          <w:rFonts w:ascii="Arial" w:hAnsi="Arial" w:cs="Arial"/>
          <w:color w:val="000000" w:themeColor="text1"/>
          <w:sz w:val="22"/>
          <w:szCs w:val="22"/>
        </w:rPr>
        <w:t>;</w:t>
      </w:r>
    </w:p>
    <w:p w14:paraId="56F06586" w14:textId="77777777" w:rsidR="005150D9" w:rsidRPr="00D02C25" w:rsidRDefault="00000000">
      <w:pPr>
        <w:pStyle w:val="ListParagraph"/>
        <w:numPr>
          <w:ilvl w:val="0"/>
          <w:numId w:val="3"/>
        </w:numPr>
        <w:spacing w:after="90" w:line="272" w:lineRule="auto"/>
        <w:rPr>
          <w:rFonts w:ascii="Arial" w:hAnsi="Arial" w:cs="Arial"/>
          <w:color w:val="000000" w:themeColor="text1"/>
          <w:sz w:val="22"/>
          <w:szCs w:val="22"/>
        </w:rPr>
      </w:pPr>
      <w:r w:rsidRPr="00D02C25">
        <w:rPr>
          <w:rFonts w:ascii="Arial" w:hAnsi="Arial" w:cs="Arial"/>
          <w:color w:val="000000" w:themeColor="text1"/>
          <w:sz w:val="22"/>
          <w:szCs w:val="22"/>
        </w:rPr>
        <w:t xml:space="preserve">the additional charge or fee is </w:t>
      </w:r>
      <w:r w:rsidRPr="00D02C25">
        <w:rPr>
          <w:rFonts w:ascii="Arial" w:hAnsi="Arial" w:cs="Arial"/>
          <w:b/>
          <w:bCs/>
          <w:color w:val="000000" w:themeColor="text1"/>
          <w:sz w:val="22"/>
          <w:szCs w:val="22"/>
        </w:rPr>
        <w:t>mandatory</w:t>
      </w:r>
      <w:r w:rsidRPr="00D02C25">
        <w:rPr>
          <w:rFonts w:ascii="Arial" w:hAnsi="Arial" w:cs="Arial"/>
          <w:color w:val="000000" w:themeColor="text1"/>
          <w:sz w:val="22"/>
          <w:szCs w:val="22"/>
        </w:rPr>
        <w:t>, not optional; and</w:t>
      </w:r>
    </w:p>
    <w:p w14:paraId="5F73B5FF" w14:textId="77777777" w:rsidR="005150D9" w:rsidRPr="00D02C25" w:rsidRDefault="00000000">
      <w:pPr>
        <w:pStyle w:val="ListParagraph"/>
        <w:numPr>
          <w:ilvl w:val="0"/>
          <w:numId w:val="3"/>
        </w:numPr>
        <w:spacing w:after="90" w:line="272" w:lineRule="auto"/>
        <w:rPr>
          <w:rFonts w:ascii="Arial" w:hAnsi="Arial" w:cs="Arial"/>
          <w:color w:val="000000" w:themeColor="text1"/>
          <w:sz w:val="22"/>
          <w:szCs w:val="22"/>
        </w:rPr>
      </w:pPr>
      <w:proofErr w:type="gramStart"/>
      <w:r w:rsidRPr="00D02C25">
        <w:rPr>
          <w:rFonts w:ascii="Arial" w:hAnsi="Arial" w:cs="Arial"/>
          <w:color w:val="000000" w:themeColor="text1"/>
          <w:sz w:val="22"/>
          <w:szCs w:val="22"/>
        </w:rPr>
        <w:t>the</w:t>
      </w:r>
      <w:proofErr w:type="gramEnd"/>
      <w:r w:rsidRPr="00D02C25">
        <w:rPr>
          <w:rFonts w:ascii="Arial" w:hAnsi="Arial" w:cs="Arial"/>
          <w:color w:val="000000" w:themeColor="text1"/>
          <w:sz w:val="22"/>
          <w:szCs w:val="22"/>
        </w:rPr>
        <w:t xml:space="preserve"> additional charge or fee is </w:t>
      </w:r>
      <w:r w:rsidRPr="00D02C25">
        <w:rPr>
          <w:rFonts w:ascii="Arial" w:hAnsi="Arial" w:cs="Arial"/>
          <w:b/>
          <w:bCs/>
          <w:color w:val="000000" w:themeColor="text1"/>
          <w:sz w:val="22"/>
          <w:szCs w:val="22"/>
        </w:rPr>
        <w:t>not imposed by legislation</w:t>
      </w:r>
      <w:r w:rsidRPr="00D02C25">
        <w:rPr>
          <w:rFonts w:ascii="Arial" w:hAnsi="Arial" w:cs="Arial"/>
          <w:color w:val="000000" w:themeColor="text1"/>
          <w:sz w:val="22"/>
          <w:szCs w:val="22"/>
        </w:rPr>
        <w:t xml:space="preserve"> (federal, provincial, or territorial).</w:t>
      </w:r>
    </w:p>
    <w:p w14:paraId="350EAC2D" w14:textId="77777777" w:rsidR="00121667" w:rsidRPr="00D02C25" w:rsidRDefault="00000000">
      <w:pPr>
        <w:spacing w:after="140" w:line="276" w:lineRule="auto"/>
        <w:rPr>
          <w:rFonts w:ascii="Arial" w:hAnsi="Arial" w:cs="Arial"/>
          <w:color w:val="000000" w:themeColor="text1"/>
          <w:sz w:val="22"/>
          <w:szCs w:val="22"/>
        </w:rPr>
      </w:pPr>
      <w:r w:rsidRPr="00D02C25">
        <w:rPr>
          <w:rFonts w:ascii="Arial" w:hAnsi="Arial" w:cs="Arial"/>
          <w:color w:val="000000" w:themeColor="text1"/>
          <w:sz w:val="22"/>
          <w:szCs w:val="22"/>
        </w:rPr>
        <w:t xml:space="preserve">The last point is the only real carve-out: government-imposed charges </w:t>
      </w:r>
      <w:r w:rsidR="00121667" w:rsidRPr="00D02C25">
        <w:rPr>
          <w:rFonts w:ascii="Arial" w:hAnsi="Arial" w:cs="Arial"/>
          <w:color w:val="000000" w:themeColor="text1"/>
          <w:sz w:val="22"/>
          <w:szCs w:val="22"/>
        </w:rPr>
        <w:t>(</w:t>
      </w:r>
      <w:r w:rsidRPr="00D02C25">
        <w:rPr>
          <w:rFonts w:ascii="Arial" w:hAnsi="Arial" w:cs="Arial"/>
          <w:color w:val="000000" w:themeColor="text1"/>
          <w:sz w:val="22"/>
          <w:szCs w:val="22"/>
        </w:rPr>
        <w:t>sales taxes such as GST/HST and provincial sales taxes including QST</w:t>
      </w:r>
      <w:r w:rsidR="00121667" w:rsidRPr="00D02C25">
        <w:rPr>
          <w:rFonts w:ascii="Arial" w:hAnsi="Arial" w:cs="Arial"/>
          <w:color w:val="000000" w:themeColor="text1"/>
          <w:sz w:val="22"/>
          <w:szCs w:val="22"/>
        </w:rPr>
        <w:t>)</w:t>
      </w:r>
      <w:r w:rsidRPr="00D02C25">
        <w:rPr>
          <w:rFonts w:ascii="Arial" w:hAnsi="Arial" w:cs="Arial"/>
          <w:color w:val="000000" w:themeColor="text1"/>
          <w:sz w:val="22"/>
          <w:szCs w:val="22"/>
        </w:rPr>
        <w:t xml:space="preserve"> need not be baked into the advertised price. Everything else that a customer must pay and cannot escape belongs </w:t>
      </w:r>
      <w:proofErr w:type="gramStart"/>
      <w:r w:rsidRPr="00D02C25">
        <w:rPr>
          <w:rFonts w:ascii="Arial" w:hAnsi="Arial" w:cs="Arial"/>
          <w:color w:val="000000" w:themeColor="text1"/>
          <w:sz w:val="22"/>
          <w:szCs w:val="22"/>
        </w:rPr>
        <w:t>in</w:t>
      </w:r>
      <w:proofErr w:type="gramEnd"/>
      <w:r w:rsidRPr="00D02C25">
        <w:rPr>
          <w:rFonts w:ascii="Arial" w:hAnsi="Arial" w:cs="Arial"/>
          <w:color w:val="000000" w:themeColor="text1"/>
          <w:sz w:val="22"/>
          <w:szCs w:val="22"/>
        </w:rPr>
        <w:t xml:space="preserve"> the price shown up front.</w:t>
      </w:r>
    </w:p>
    <w:p w14:paraId="1C1C3E1B" w14:textId="4BAFA5E4" w:rsidR="005150D9" w:rsidRPr="00D02C25" w:rsidRDefault="00000000">
      <w:pPr>
        <w:spacing w:after="140" w:line="276" w:lineRule="auto"/>
        <w:rPr>
          <w:rFonts w:ascii="Arial" w:hAnsi="Arial" w:cs="Arial"/>
          <w:color w:val="000000" w:themeColor="text1"/>
          <w:sz w:val="22"/>
          <w:szCs w:val="22"/>
        </w:rPr>
      </w:pPr>
      <w:r w:rsidRPr="00D02C25">
        <w:rPr>
          <w:rFonts w:ascii="Arial" w:hAnsi="Arial" w:cs="Arial"/>
          <w:color w:val="000000" w:themeColor="text1"/>
          <w:sz w:val="22"/>
          <w:szCs w:val="22"/>
        </w:rPr>
        <w:t xml:space="preserve">Drip pricing is not automatically a standalone offence. Technically, it is </w:t>
      </w:r>
      <w:r w:rsidRPr="00D02C25">
        <w:rPr>
          <w:rFonts w:ascii="Arial" w:hAnsi="Arial" w:cs="Arial"/>
          <w:i/>
          <w:iCs/>
          <w:color w:val="000000" w:themeColor="text1"/>
          <w:sz w:val="22"/>
          <w:szCs w:val="22"/>
        </w:rPr>
        <w:t>deemed</w:t>
      </w:r>
      <w:r w:rsidRPr="00D02C25">
        <w:rPr>
          <w:rFonts w:ascii="Arial" w:hAnsi="Arial" w:cs="Arial"/>
          <w:color w:val="000000" w:themeColor="text1"/>
          <w:sz w:val="22"/>
          <w:szCs w:val="22"/>
        </w:rPr>
        <w:t xml:space="preserve"> to be a misleading representation </w:t>
      </w:r>
      <w:proofErr w:type="gramStart"/>
      <w:r w:rsidRPr="00D02C25">
        <w:rPr>
          <w:rFonts w:ascii="Arial" w:hAnsi="Arial" w:cs="Arial"/>
          <w:color w:val="000000" w:themeColor="text1"/>
          <w:sz w:val="22"/>
          <w:szCs w:val="22"/>
        </w:rPr>
        <w:t>for</w:t>
      </w:r>
      <w:proofErr w:type="gramEnd"/>
      <w:r w:rsidRPr="00D02C25">
        <w:rPr>
          <w:rFonts w:ascii="Arial" w:hAnsi="Arial" w:cs="Arial"/>
          <w:color w:val="000000" w:themeColor="text1"/>
          <w:sz w:val="22"/>
          <w:szCs w:val="22"/>
        </w:rPr>
        <w:t xml:space="preserve"> the Act's general prohibition on representations that are false or misleading in a material respect. But this offers little practical comfort, because the courts have repeatedly found that price representations </w:t>
      </w:r>
      <w:r w:rsidRPr="00D02C25">
        <w:rPr>
          <w:rFonts w:ascii="Arial" w:hAnsi="Arial" w:cs="Arial"/>
          <w:i/>
          <w:iCs/>
          <w:color w:val="000000" w:themeColor="text1"/>
          <w:sz w:val="22"/>
          <w:szCs w:val="22"/>
        </w:rPr>
        <w:t>are</w:t>
      </w:r>
      <w:r w:rsidRPr="00D02C25">
        <w:rPr>
          <w:rFonts w:ascii="Arial" w:hAnsi="Arial" w:cs="Arial"/>
          <w:color w:val="000000" w:themeColor="text1"/>
          <w:sz w:val="22"/>
          <w:szCs w:val="22"/>
        </w:rPr>
        <w:t xml:space="preserve"> material</w:t>
      </w:r>
      <w:r w:rsidR="00121667" w:rsidRPr="00D02C25">
        <w:rPr>
          <w:rFonts w:ascii="Arial" w:hAnsi="Arial" w:cs="Arial"/>
          <w:color w:val="000000" w:themeColor="text1"/>
          <w:sz w:val="22"/>
          <w:szCs w:val="22"/>
        </w:rPr>
        <w:t xml:space="preserve">; </w:t>
      </w:r>
      <w:r w:rsidRPr="00D02C25">
        <w:rPr>
          <w:rFonts w:ascii="Arial" w:hAnsi="Arial" w:cs="Arial"/>
          <w:color w:val="000000" w:themeColor="text1"/>
          <w:sz w:val="22"/>
          <w:szCs w:val="22"/>
        </w:rPr>
        <w:t>they go to the heart of a purchasing decision. Parallel criminal provisions can also apply where the conduct is done “knowingly or recklessly.”</w:t>
      </w:r>
    </w:p>
    <w:tbl>
      <w:tblPr>
        <w:tblW w:w="9360" w:type="dxa"/>
        <w:tblBorders>
          <w:top w:val="single" w:sz="2" w:space="0" w:color="E8EEF4"/>
          <w:left w:val="single" w:sz="24" w:space="0" w:color="34618C"/>
          <w:bottom w:val="single" w:sz="2" w:space="0" w:color="E8EEF4"/>
          <w:right w:val="single" w:sz="2" w:space="0" w:color="E8EEF4"/>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5150D9" w:rsidRPr="00D02C25" w14:paraId="73EE2D10" w14:textId="77777777">
        <w:tblPrEx>
          <w:tblCellMar>
            <w:top w:w="0" w:type="dxa"/>
            <w:bottom w:w="0" w:type="dxa"/>
          </w:tblCellMar>
        </w:tblPrEx>
        <w:tc>
          <w:tcPr>
            <w:tcW w:w="9360" w:type="dxa"/>
            <w:shd w:val="clear" w:color="auto" w:fill="E8EEF4"/>
            <w:tcMar>
              <w:top w:w="140" w:type="dxa"/>
              <w:left w:w="200" w:type="dxa"/>
              <w:bottom w:w="140" w:type="dxa"/>
              <w:right w:w="200" w:type="dxa"/>
            </w:tcMar>
          </w:tcPr>
          <w:p w14:paraId="79B694AA" w14:textId="77777777" w:rsidR="005150D9" w:rsidRPr="00D02C25" w:rsidRDefault="00000000">
            <w:pPr>
              <w:spacing w:after="60"/>
              <w:rPr>
                <w:rFonts w:ascii="Arial" w:hAnsi="Arial" w:cs="Arial"/>
                <w:color w:val="000000" w:themeColor="text1"/>
                <w:sz w:val="22"/>
                <w:szCs w:val="22"/>
              </w:rPr>
            </w:pPr>
            <w:r w:rsidRPr="00D02C25">
              <w:rPr>
                <w:rFonts w:ascii="Arial" w:hAnsi="Arial" w:cs="Arial"/>
                <w:b/>
                <w:bCs/>
                <w:color w:val="000000" w:themeColor="text1"/>
                <w:sz w:val="22"/>
                <w:szCs w:val="22"/>
              </w:rPr>
              <w:t xml:space="preserve">Who </w:t>
            </w:r>
            <w:proofErr w:type="gramStart"/>
            <w:r w:rsidRPr="00D02C25">
              <w:rPr>
                <w:rFonts w:ascii="Arial" w:hAnsi="Arial" w:cs="Arial"/>
                <w:b/>
                <w:bCs/>
                <w:color w:val="000000" w:themeColor="text1"/>
                <w:sz w:val="22"/>
                <w:szCs w:val="22"/>
              </w:rPr>
              <w:t>this binds</w:t>
            </w:r>
            <w:proofErr w:type="gramEnd"/>
          </w:p>
          <w:p w14:paraId="6C7231D2" w14:textId="77777777" w:rsidR="005150D9" w:rsidRPr="00D02C25" w:rsidRDefault="00000000">
            <w:pPr>
              <w:spacing w:line="276" w:lineRule="auto"/>
              <w:rPr>
                <w:rFonts w:ascii="Arial" w:hAnsi="Arial" w:cs="Arial"/>
                <w:color w:val="000000" w:themeColor="text1"/>
                <w:sz w:val="22"/>
                <w:szCs w:val="22"/>
              </w:rPr>
            </w:pPr>
            <w:r w:rsidRPr="00D02C25">
              <w:rPr>
                <w:rFonts w:ascii="Arial" w:hAnsi="Arial" w:cs="Arial"/>
                <w:color w:val="000000" w:themeColor="text1"/>
                <w:sz w:val="22"/>
                <w:szCs w:val="22"/>
              </w:rPr>
              <w:t xml:space="preserve">The </w:t>
            </w:r>
            <w:r w:rsidRPr="00D02C25">
              <w:rPr>
                <w:rFonts w:ascii="Arial" w:hAnsi="Arial" w:cs="Arial"/>
                <w:i/>
                <w:iCs/>
                <w:color w:val="000000" w:themeColor="text1"/>
                <w:sz w:val="22"/>
                <w:szCs w:val="22"/>
              </w:rPr>
              <w:t>Competition Act</w:t>
            </w:r>
            <w:r w:rsidRPr="00D02C25">
              <w:rPr>
                <w:rFonts w:ascii="Arial" w:hAnsi="Arial" w:cs="Arial"/>
                <w:color w:val="000000" w:themeColor="text1"/>
                <w:sz w:val="22"/>
                <w:szCs w:val="22"/>
              </w:rPr>
              <w:t xml:space="preserve"> applies in every province and territory, and to dealings with business customers (for example, incorporated businesses renting units) as well as individual consumers. There is no “business-to-business” exemption from these pricing rules.</w:t>
            </w:r>
          </w:p>
        </w:tc>
      </w:tr>
    </w:tbl>
    <w:p w14:paraId="1343AEAF" w14:textId="77777777" w:rsidR="005150D9" w:rsidRDefault="00000000">
      <w:pPr>
        <w:pStyle w:val="Heading2"/>
        <w:rPr>
          <w:rFonts w:ascii="Arial" w:hAnsi="Arial" w:cs="Arial"/>
          <w:color w:val="000000" w:themeColor="text1"/>
          <w:sz w:val="22"/>
          <w:szCs w:val="22"/>
        </w:rPr>
      </w:pPr>
      <w:r w:rsidRPr="00D02C25">
        <w:rPr>
          <w:rFonts w:ascii="Arial" w:hAnsi="Arial" w:cs="Arial"/>
          <w:color w:val="000000" w:themeColor="text1"/>
          <w:sz w:val="22"/>
          <w:szCs w:val="22"/>
        </w:rPr>
        <w:lastRenderedPageBreak/>
        <w:t>What enforcement can cost</w:t>
      </w:r>
    </w:p>
    <w:p w14:paraId="26912A65" w14:textId="7288C6D0" w:rsidR="005150D9" w:rsidRPr="00D02C25" w:rsidRDefault="00000000">
      <w:pPr>
        <w:pStyle w:val="ListParagraph"/>
        <w:numPr>
          <w:ilvl w:val="0"/>
          <w:numId w:val="2"/>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Administrative monetary penalties (AMPs) for a corporation: </w:t>
      </w:r>
      <w:r w:rsidRPr="00D02C25">
        <w:rPr>
          <w:rFonts w:ascii="Arial" w:hAnsi="Arial" w:cs="Arial"/>
          <w:color w:val="000000" w:themeColor="text1"/>
          <w:sz w:val="22"/>
          <w:szCs w:val="22"/>
        </w:rPr>
        <w:t>the greater of (</w:t>
      </w:r>
      <w:proofErr w:type="spellStart"/>
      <w:r w:rsidRPr="00D02C25">
        <w:rPr>
          <w:rFonts w:ascii="Arial" w:hAnsi="Arial" w:cs="Arial"/>
          <w:color w:val="000000" w:themeColor="text1"/>
          <w:sz w:val="22"/>
          <w:szCs w:val="22"/>
        </w:rPr>
        <w:t>i</w:t>
      </w:r>
      <w:proofErr w:type="spellEnd"/>
      <w:r w:rsidRPr="00D02C25">
        <w:rPr>
          <w:rFonts w:ascii="Arial" w:hAnsi="Arial" w:cs="Arial"/>
          <w:color w:val="000000" w:themeColor="text1"/>
          <w:sz w:val="22"/>
          <w:szCs w:val="22"/>
        </w:rPr>
        <w:t>) $10 million for a first contravention ($15 million for each subsequent one), or (ii) three times the benefit derived from the conduct and where that figure can't reasonably be determined, 3% of the corporation's annual worldwide gross revenues.</w:t>
      </w:r>
    </w:p>
    <w:p w14:paraId="2A142EB9" w14:textId="77777777" w:rsidR="005150D9" w:rsidRPr="00D02C25" w:rsidRDefault="00000000">
      <w:pPr>
        <w:pStyle w:val="ListParagraph"/>
        <w:numPr>
          <w:ilvl w:val="0"/>
          <w:numId w:val="2"/>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Other remedies: </w:t>
      </w:r>
      <w:r w:rsidRPr="00D02C25">
        <w:rPr>
          <w:rFonts w:ascii="Arial" w:hAnsi="Arial" w:cs="Arial"/>
          <w:color w:val="000000" w:themeColor="text1"/>
          <w:sz w:val="22"/>
          <w:szCs w:val="22"/>
        </w:rPr>
        <w:t xml:space="preserve">orders to cease </w:t>
      </w:r>
      <w:proofErr w:type="gramStart"/>
      <w:r w:rsidRPr="00D02C25">
        <w:rPr>
          <w:rFonts w:ascii="Arial" w:hAnsi="Arial" w:cs="Arial"/>
          <w:color w:val="000000" w:themeColor="text1"/>
          <w:sz w:val="22"/>
          <w:szCs w:val="22"/>
        </w:rPr>
        <w:t>the conduct</w:t>
      </w:r>
      <w:proofErr w:type="gramEnd"/>
      <w:r w:rsidRPr="00D02C25">
        <w:rPr>
          <w:rFonts w:ascii="Arial" w:hAnsi="Arial" w:cs="Arial"/>
          <w:color w:val="000000" w:themeColor="text1"/>
          <w:sz w:val="22"/>
          <w:szCs w:val="22"/>
        </w:rPr>
        <w:t>, publish corrective notices, put compliance measures in place, and pay restitution to affected customers.</w:t>
      </w:r>
    </w:p>
    <w:p w14:paraId="6351345D" w14:textId="77777777" w:rsidR="005150D9" w:rsidRPr="00D02C25" w:rsidRDefault="00000000">
      <w:pPr>
        <w:pStyle w:val="ListParagraph"/>
        <w:numPr>
          <w:ilvl w:val="0"/>
          <w:numId w:val="2"/>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Private lawsuits: </w:t>
      </w:r>
      <w:r w:rsidRPr="00D02C25">
        <w:rPr>
          <w:rFonts w:ascii="Arial" w:hAnsi="Arial" w:cs="Arial"/>
          <w:color w:val="000000" w:themeColor="text1"/>
          <w:sz w:val="22"/>
          <w:szCs w:val="22"/>
        </w:rPr>
        <w:t>customers can pursue their own claims, both under the newer private-action regime and through the Act's long-standing damages right for conduct that breaches its criminal provisions.</w:t>
      </w:r>
    </w:p>
    <w:p w14:paraId="2B9E9979" w14:textId="66077C11" w:rsidR="005150D9" w:rsidRPr="00D02C25" w:rsidRDefault="00D02C25">
      <w:pPr>
        <w:pStyle w:val="Heading1"/>
        <w:rPr>
          <w:rFonts w:ascii="Arial" w:hAnsi="Arial" w:cs="Arial"/>
          <w:color w:val="000000" w:themeColor="text1"/>
          <w:sz w:val="22"/>
          <w:szCs w:val="22"/>
        </w:rPr>
      </w:pPr>
      <w:r w:rsidRPr="00D02C25">
        <w:rPr>
          <w:rFonts w:ascii="Arial" w:hAnsi="Arial" w:cs="Arial"/>
          <w:color w:val="000000" w:themeColor="text1"/>
          <w:sz w:val="22"/>
          <w:szCs w:val="22"/>
        </w:rPr>
        <w:t>4. THE PROVINCIAL OVERLAY</w:t>
      </w:r>
    </w:p>
    <w:p w14:paraId="7E7290DE" w14:textId="12A1DEDF" w:rsidR="005150D9" w:rsidRPr="00D02C25" w:rsidRDefault="00000000">
      <w:pPr>
        <w:spacing w:after="140" w:line="276" w:lineRule="auto"/>
        <w:rPr>
          <w:rFonts w:ascii="Arial" w:hAnsi="Arial" w:cs="Arial"/>
          <w:color w:val="000000" w:themeColor="text1"/>
          <w:sz w:val="22"/>
          <w:szCs w:val="22"/>
        </w:rPr>
      </w:pPr>
      <w:r w:rsidRPr="00D02C25">
        <w:rPr>
          <w:rFonts w:ascii="Arial" w:hAnsi="Arial" w:cs="Arial"/>
          <w:color w:val="000000" w:themeColor="text1"/>
          <w:sz w:val="22"/>
          <w:szCs w:val="22"/>
        </w:rPr>
        <w:t xml:space="preserve">On top of the federal Act, most provinces have consumer protection laws that reach drip pricing directly or indirectly. Two things distinguish them from the federal regime: they apply only within their own province, and they generally protect </w:t>
      </w:r>
      <w:r w:rsidRPr="00D02C25">
        <w:rPr>
          <w:rFonts w:ascii="Arial" w:hAnsi="Arial" w:cs="Arial"/>
          <w:i/>
          <w:iCs/>
          <w:color w:val="000000" w:themeColor="text1"/>
          <w:sz w:val="22"/>
          <w:szCs w:val="22"/>
        </w:rPr>
        <w:t>consumers</w:t>
      </w:r>
      <w:r w:rsidRPr="00D02C25">
        <w:rPr>
          <w:rFonts w:ascii="Arial" w:hAnsi="Arial" w:cs="Arial"/>
          <w:color w:val="000000" w:themeColor="text1"/>
          <w:sz w:val="22"/>
          <w:szCs w:val="22"/>
        </w:rPr>
        <w:t xml:space="preserve"> rather than business customers. For drip pricing specifically, these regimes are mostly equivalent to, or more permissive than, the federal standard. </w:t>
      </w:r>
      <w:r w:rsidR="00121667" w:rsidRPr="00D02C25">
        <w:rPr>
          <w:rFonts w:ascii="Arial" w:hAnsi="Arial" w:cs="Arial"/>
          <w:color w:val="000000" w:themeColor="text1"/>
          <w:sz w:val="22"/>
          <w:szCs w:val="22"/>
        </w:rPr>
        <w:t>One important exception is that</w:t>
      </w:r>
      <w:r w:rsidRPr="00D02C25">
        <w:rPr>
          <w:rFonts w:ascii="Arial" w:hAnsi="Arial" w:cs="Arial"/>
          <w:color w:val="000000" w:themeColor="text1"/>
          <w:sz w:val="22"/>
          <w:szCs w:val="22"/>
        </w:rPr>
        <w:t xml:space="preserve"> several are </w:t>
      </w:r>
      <w:r w:rsidRPr="00D02C25">
        <w:rPr>
          <w:rFonts w:ascii="Arial" w:hAnsi="Arial" w:cs="Arial"/>
          <w:b/>
          <w:bCs/>
          <w:color w:val="000000" w:themeColor="text1"/>
          <w:sz w:val="22"/>
          <w:szCs w:val="22"/>
        </w:rPr>
        <w:t>stricter</w:t>
      </w:r>
      <w:r w:rsidRPr="00D02C25">
        <w:rPr>
          <w:rFonts w:ascii="Arial" w:hAnsi="Arial" w:cs="Arial"/>
          <w:color w:val="000000" w:themeColor="text1"/>
          <w:sz w:val="22"/>
          <w:szCs w:val="22"/>
        </w:rPr>
        <w:t>.</w:t>
      </w:r>
    </w:p>
    <w:p w14:paraId="0C2C93A8" w14:textId="77777777" w:rsidR="005150D9" w:rsidRPr="00D02C25" w:rsidRDefault="00000000">
      <w:pPr>
        <w:pStyle w:val="Heading2"/>
        <w:rPr>
          <w:rFonts w:ascii="Arial" w:hAnsi="Arial" w:cs="Arial"/>
          <w:color w:val="000000" w:themeColor="text1"/>
          <w:sz w:val="22"/>
          <w:szCs w:val="22"/>
        </w:rPr>
      </w:pPr>
      <w:r w:rsidRPr="00D02C25">
        <w:rPr>
          <w:rFonts w:ascii="Arial" w:hAnsi="Arial" w:cs="Arial"/>
          <w:color w:val="000000" w:themeColor="text1"/>
          <w:sz w:val="22"/>
          <w:szCs w:val="22"/>
        </w:rPr>
        <w:t>The prominence rule</w:t>
      </w:r>
    </w:p>
    <w:p w14:paraId="25294303" w14:textId="6AB1BADC" w:rsidR="005150D9" w:rsidRPr="00D02C25" w:rsidRDefault="00000000">
      <w:pPr>
        <w:spacing w:after="140" w:line="276" w:lineRule="auto"/>
        <w:rPr>
          <w:rFonts w:ascii="Arial" w:hAnsi="Arial" w:cs="Arial"/>
          <w:color w:val="000000" w:themeColor="text1"/>
          <w:sz w:val="22"/>
          <w:szCs w:val="22"/>
        </w:rPr>
      </w:pPr>
      <w:r w:rsidRPr="00D02C25">
        <w:rPr>
          <w:rFonts w:ascii="Arial" w:hAnsi="Arial" w:cs="Arial"/>
          <w:color w:val="000000" w:themeColor="text1"/>
          <w:sz w:val="22"/>
          <w:szCs w:val="22"/>
        </w:rPr>
        <w:t xml:space="preserve">Where an operator shows a total price alongside its component amounts, </w:t>
      </w:r>
      <w:r w:rsidR="00121667" w:rsidRPr="00D02C25">
        <w:rPr>
          <w:rFonts w:ascii="Arial" w:hAnsi="Arial" w:cs="Arial"/>
          <w:color w:val="000000" w:themeColor="text1"/>
          <w:sz w:val="22"/>
          <w:szCs w:val="22"/>
        </w:rPr>
        <w:t>several</w:t>
      </w:r>
      <w:r w:rsidRPr="00D02C25">
        <w:rPr>
          <w:rFonts w:ascii="Arial" w:hAnsi="Arial" w:cs="Arial"/>
          <w:color w:val="000000" w:themeColor="text1"/>
          <w:sz w:val="22"/>
          <w:szCs w:val="22"/>
        </w:rPr>
        <w:t xml:space="preserve"> provinces</w:t>
      </w:r>
      <w:r w:rsidR="00121667" w:rsidRPr="00D02C25">
        <w:rPr>
          <w:rFonts w:ascii="Arial" w:hAnsi="Arial" w:cs="Arial"/>
          <w:color w:val="000000" w:themeColor="text1"/>
          <w:sz w:val="22"/>
          <w:szCs w:val="22"/>
        </w:rPr>
        <w:t xml:space="preserve">, </w:t>
      </w:r>
      <w:r w:rsidRPr="00D02C25">
        <w:rPr>
          <w:rFonts w:ascii="Arial" w:hAnsi="Arial" w:cs="Arial"/>
          <w:color w:val="000000" w:themeColor="text1"/>
          <w:sz w:val="22"/>
          <w:szCs w:val="22"/>
        </w:rPr>
        <w:t>including Québec</w:t>
      </w:r>
      <w:r w:rsidR="00121667" w:rsidRPr="00D02C25">
        <w:rPr>
          <w:rFonts w:ascii="Arial" w:hAnsi="Arial" w:cs="Arial"/>
          <w:color w:val="000000" w:themeColor="text1"/>
          <w:sz w:val="22"/>
          <w:szCs w:val="22"/>
        </w:rPr>
        <w:t>,</w:t>
      </w:r>
      <w:r w:rsidRPr="00D02C25">
        <w:rPr>
          <w:rFonts w:ascii="Arial" w:hAnsi="Arial" w:cs="Arial"/>
          <w:color w:val="000000" w:themeColor="text1"/>
          <w:sz w:val="22"/>
          <w:szCs w:val="22"/>
        </w:rPr>
        <w:t xml:space="preserve"> require the </w:t>
      </w:r>
      <w:r w:rsidRPr="00D02C25">
        <w:rPr>
          <w:rFonts w:ascii="Arial" w:hAnsi="Arial" w:cs="Arial"/>
          <w:b/>
          <w:bCs/>
          <w:color w:val="000000" w:themeColor="text1"/>
          <w:sz w:val="22"/>
          <w:szCs w:val="22"/>
        </w:rPr>
        <w:t>total</w:t>
      </w:r>
      <w:r w:rsidRPr="00D02C25">
        <w:rPr>
          <w:rFonts w:ascii="Arial" w:hAnsi="Arial" w:cs="Arial"/>
          <w:color w:val="000000" w:themeColor="text1"/>
          <w:sz w:val="22"/>
          <w:szCs w:val="22"/>
        </w:rPr>
        <w:t xml:space="preserve"> to be displayed with greater prominence than the components, or at the very least no less prominence. In other words, even a compliant, all-in total can create provincial exposure if the sub-components (a low “per week” rate, a pre-fee base rate) are the visually dominant figures on the page.</w:t>
      </w:r>
    </w:p>
    <w:p w14:paraId="3AFC9FA9" w14:textId="77777777" w:rsidR="005150D9" w:rsidRPr="00D02C25" w:rsidRDefault="00000000">
      <w:pPr>
        <w:pStyle w:val="Heading2"/>
        <w:rPr>
          <w:rFonts w:ascii="Arial" w:hAnsi="Arial" w:cs="Arial"/>
          <w:color w:val="000000" w:themeColor="text1"/>
          <w:sz w:val="22"/>
          <w:szCs w:val="22"/>
        </w:rPr>
      </w:pPr>
      <w:r w:rsidRPr="00D02C25">
        <w:rPr>
          <w:rFonts w:ascii="Arial" w:hAnsi="Arial" w:cs="Arial"/>
          <w:color w:val="000000" w:themeColor="text1"/>
          <w:sz w:val="22"/>
          <w:szCs w:val="22"/>
        </w:rPr>
        <w:t>Québec: the strictest and best-tested regime</w:t>
      </w:r>
    </w:p>
    <w:p w14:paraId="0885DA82" w14:textId="04FF0F4A" w:rsidR="005150D9" w:rsidRPr="00D02C25" w:rsidRDefault="00000000">
      <w:pPr>
        <w:spacing w:after="140" w:line="276" w:lineRule="auto"/>
        <w:rPr>
          <w:rFonts w:ascii="Arial" w:hAnsi="Arial" w:cs="Arial"/>
          <w:color w:val="000000" w:themeColor="text1"/>
          <w:sz w:val="22"/>
          <w:szCs w:val="22"/>
        </w:rPr>
      </w:pPr>
      <w:r w:rsidRPr="00D02C25">
        <w:rPr>
          <w:rFonts w:ascii="Arial" w:hAnsi="Arial" w:cs="Arial"/>
          <w:color w:val="000000" w:themeColor="text1"/>
          <w:sz w:val="22"/>
          <w:szCs w:val="22"/>
        </w:rPr>
        <w:t xml:space="preserve">Québec's Consumer Protection Act most closely mirrors the federal standard as the Bureau reads it: the advertised price must include everything the consumer must pay, </w:t>
      </w:r>
      <w:r w:rsidR="00121667" w:rsidRPr="00D02C25">
        <w:rPr>
          <w:rFonts w:ascii="Arial" w:hAnsi="Arial" w:cs="Arial"/>
          <w:color w:val="000000" w:themeColor="text1"/>
          <w:sz w:val="22"/>
          <w:szCs w:val="22"/>
        </w:rPr>
        <w:t>except GST and QST</w:t>
      </w:r>
      <w:r w:rsidRPr="00D02C25">
        <w:rPr>
          <w:rFonts w:ascii="Arial" w:hAnsi="Arial" w:cs="Arial"/>
          <w:color w:val="000000" w:themeColor="text1"/>
          <w:sz w:val="22"/>
          <w:szCs w:val="22"/>
        </w:rPr>
        <w:t xml:space="preserve">. Section 224 goes further by </w:t>
      </w:r>
      <w:r w:rsidR="00D02C25">
        <w:rPr>
          <w:rFonts w:ascii="Arial" w:hAnsi="Arial" w:cs="Arial"/>
          <w:color w:val="000000" w:themeColor="text1"/>
          <w:sz w:val="22"/>
          <w:szCs w:val="22"/>
        </w:rPr>
        <w:t>requiring the total price to be emphasized more</w:t>
      </w:r>
      <w:r w:rsidRPr="00D02C25">
        <w:rPr>
          <w:rFonts w:ascii="Arial" w:hAnsi="Arial" w:cs="Arial"/>
          <w:color w:val="000000" w:themeColor="text1"/>
          <w:sz w:val="22"/>
          <w:szCs w:val="22"/>
        </w:rPr>
        <w:t xml:space="preserve"> than any component. Two decisions on the merits are instructive:</w:t>
      </w:r>
    </w:p>
    <w:p w14:paraId="121C64FA" w14:textId="3F5A6D6D" w:rsidR="005150D9" w:rsidRPr="00D02C25" w:rsidRDefault="00000000">
      <w:pPr>
        <w:pStyle w:val="ListParagraph"/>
        <w:numPr>
          <w:ilvl w:val="0"/>
          <w:numId w:val="2"/>
        </w:numPr>
        <w:spacing w:after="80" w:line="272" w:lineRule="auto"/>
        <w:rPr>
          <w:rFonts w:ascii="Arial" w:hAnsi="Arial" w:cs="Arial"/>
          <w:color w:val="000000" w:themeColor="text1"/>
          <w:sz w:val="22"/>
          <w:szCs w:val="22"/>
        </w:rPr>
      </w:pPr>
      <w:r w:rsidRPr="00D02C25">
        <w:rPr>
          <w:rFonts w:ascii="Arial" w:hAnsi="Arial" w:cs="Arial"/>
          <w:b/>
          <w:bCs/>
          <w:i/>
          <w:iCs/>
          <w:color w:val="000000" w:themeColor="text1"/>
          <w:sz w:val="22"/>
          <w:szCs w:val="22"/>
        </w:rPr>
        <w:t xml:space="preserve">Air Canada. </w:t>
      </w:r>
      <w:r w:rsidRPr="00D02C25">
        <w:rPr>
          <w:rFonts w:ascii="Arial" w:hAnsi="Arial" w:cs="Arial"/>
          <w:color w:val="000000" w:themeColor="text1"/>
          <w:sz w:val="22"/>
          <w:szCs w:val="22"/>
        </w:rPr>
        <w:t xml:space="preserve">The Court of Appeal confirmed that the prohibition applies broadly to online price representations, including fees layered </w:t>
      </w:r>
      <w:r w:rsidR="00121667" w:rsidRPr="00D02C25">
        <w:rPr>
          <w:rFonts w:ascii="Arial" w:hAnsi="Arial" w:cs="Arial"/>
          <w:color w:val="000000" w:themeColor="text1"/>
          <w:sz w:val="22"/>
          <w:szCs w:val="22"/>
        </w:rPr>
        <w:t xml:space="preserve">throughout a transactional checkout flow. </w:t>
      </w:r>
      <w:r w:rsidRPr="00D02C25">
        <w:rPr>
          <w:rFonts w:ascii="Arial" w:hAnsi="Arial" w:cs="Arial"/>
          <w:color w:val="000000" w:themeColor="text1"/>
          <w:sz w:val="22"/>
          <w:szCs w:val="22"/>
        </w:rPr>
        <w:t xml:space="preserve">The airline was found to have engaged in unlawful drip pricing. No compensatory damages were awarded (the plaintiff couldn't prove a loss), but the court imposed </w:t>
      </w:r>
      <w:r w:rsidRPr="00D02C25">
        <w:rPr>
          <w:rFonts w:ascii="Arial" w:hAnsi="Arial" w:cs="Arial"/>
          <w:b/>
          <w:bCs/>
          <w:color w:val="000000" w:themeColor="text1"/>
          <w:sz w:val="22"/>
          <w:szCs w:val="22"/>
        </w:rPr>
        <w:t>$10 million in punitive damages</w:t>
      </w:r>
      <w:r w:rsidRPr="00D02C25">
        <w:rPr>
          <w:rFonts w:ascii="Arial" w:hAnsi="Arial" w:cs="Arial"/>
          <w:color w:val="000000" w:themeColor="text1"/>
          <w:sz w:val="22"/>
          <w:szCs w:val="22"/>
        </w:rPr>
        <w:t xml:space="preserve"> for carelessness toward consumers' interests.</w:t>
      </w:r>
    </w:p>
    <w:p w14:paraId="665A83B0" w14:textId="422B5977" w:rsidR="005150D9" w:rsidRPr="00D02C25" w:rsidRDefault="00000000">
      <w:pPr>
        <w:pStyle w:val="ListParagraph"/>
        <w:numPr>
          <w:ilvl w:val="0"/>
          <w:numId w:val="2"/>
        </w:numPr>
        <w:spacing w:after="80" w:line="272" w:lineRule="auto"/>
        <w:rPr>
          <w:rFonts w:ascii="Arial" w:hAnsi="Arial" w:cs="Arial"/>
          <w:color w:val="000000" w:themeColor="text1"/>
          <w:sz w:val="22"/>
          <w:szCs w:val="22"/>
        </w:rPr>
      </w:pPr>
      <w:r w:rsidRPr="00D02C25">
        <w:rPr>
          <w:rFonts w:ascii="Arial" w:hAnsi="Arial" w:cs="Arial"/>
          <w:b/>
          <w:bCs/>
          <w:i/>
          <w:iCs/>
          <w:color w:val="000000" w:themeColor="text1"/>
          <w:sz w:val="22"/>
          <w:szCs w:val="22"/>
        </w:rPr>
        <w:t xml:space="preserve">Expedia. </w:t>
      </w:r>
      <w:r w:rsidRPr="00D02C25">
        <w:rPr>
          <w:rFonts w:ascii="Arial" w:hAnsi="Arial" w:cs="Arial"/>
          <w:color w:val="000000" w:themeColor="text1"/>
          <w:sz w:val="22"/>
          <w:szCs w:val="22"/>
        </w:rPr>
        <w:t xml:space="preserve">The action was dismissed. The court found Expedia was a mere intermediary; </w:t>
      </w:r>
      <w:r w:rsidR="00D02C25">
        <w:rPr>
          <w:rFonts w:ascii="Arial" w:hAnsi="Arial" w:cs="Arial"/>
          <w:color w:val="000000" w:themeColor="text1"/>
          <w:sz w:val="22"/>
          <w:szCs w:val="22"/>
        </w:rPr>
        <w:t xml:space="preserve">third-party hotels </w:t>
      </w:r>
      <w:proofErr w:type="gramStart"/>
      <w:r w:rsidR="00D02C25">
        <w:rPr>
          <w:rFonts w:ascii="Arial" w:hAnsi="Arial" w:cs="Arial"/>
          <w:color w:val="000000" w:themeColor="text1"/>
          <w:sz w:val="22"/>
          <w:szCs w:val="22"/>
        </w:rPr>
        <w:t>set</w:t>
      </w:r>
      <w:proofErr w:type="gramEnd"/>
      <w:r w:rsidR="00D02C25">
        <w:rPr>
          <w:rFonts w:ascii="Arial" w:hAnsi="Arial" w:cs="Arial"/>
          <w:color w:val="000000" w:themeColor="text1"/>
          <w:sz w:val="22"/>
          <w:szCs w:val="22"/>
        </w:rPr>
        <w:t xml:space="preserve"> and collected the disputed hotel and resort fees, and Expedia disclosed them </w:t>
      </w:r>
      <w:r w:rsidRPr="00D02C25">
        <w:rPr>
          <w:rFonts w:ascii="Arial" w:hAnsi="Arial" w:cs="Arial"/>
          <w:color w:val="000000" w:themeColor="text1"/>
          <w:sz w:val="22"/>
          <w:szCs w:val="22"/>
        </w:rPr>
        <w:t xml:space="preserve">clearly, repeatedly, and early in the booking flow. The court stressed that the law does not protect consumers who make no effort to </w:t>
      </w:r>
      <w:r w:rsidR="00121667" w:rsidRPr="00D02C25">
        <w:rPr>
          <w:rFonts w:ascii="Arial" w:hAnsi="Arial" w:cs="Arial"/>
          <w:color w:val="000000" w:themeColor="text1"/>
          <w:sz w:val="22"/>
          <w:szCs w:val="22"/>
        </w:rPr>
        <w:t>learn about</w:t>
      </w:r>
      <w:r w:rsidRPr="00D02C25">
        <w:rPr>
          <w:rFonts w:ascii="Arial" w:hAnsi="Arial" w:cs="Arial"/>
          <w:color w:val="000000" w:themeColor="text1"/>
          <w:sz w:val="22"/>
          <w:szCs w:val="22"/>
        </w:rPr>
        <w:t xml:space="preserve"> clearly disclosed obligations. The decision is under appeal, with a ruling expected in 2026.</w:t>
      </w:r>
    </w:p>
    <w:p w14:paraId="397AF1F8" w14:textId="77777777" w:rsidR="005150D9" w:rsidRPr="00D02C25" w:rsidRDefault="005150D9">
      <w:pPr>
        <w:spacing w:after="60"/>
        <w:rPr>
          <w:rFonts w:ascii="Arial" w:hAnsi="Arial" w:cs="Arial"/>
          <w:color w:val="000000" w:themeColor="text1"/>
          <w:sz w:val="22"/>
          <w:szCs w:val="22"/>
        </w:rPr>
      </w:pPr>
    </w:p>
    <w:p w14:paraId="3CA19AAD" w14:textId="77777777" w:rsidR="005150D9" w:rsidRPr="00121667" w:rsidRDefault="00000000">
      <w:pPr>
        <w:spacing w:after="80" w:line="276" w:lineRule="auto"/>
        <w:rPr>
          <w:rFonts w:ascii="Arial" w:hAnsi="Arial" w:cs="Arial"/>
          <w:sz w:val="22"/>
          <w:szCs w:val="22"/>
        </w:rPr>
      </w:pPr>
      <w:r w:rsidRPr="00D02C25">
        <w:rPr>
          <w:rFonts w:ascii="Arial" w:hAnsi="Arial" w:cs="Arial"/>
          <w:color w:val="000000" w:themeColor="text1"/>
          <w:sz w:val="22"/>
          <w:szCs w:val="22"/>
        </w:rPr>
        <w:t>Across the other provinces, the same conduct is captured through three recurring prohibitions</w:t>
      </w:r>
      <w:r w:rsidRPr="00121667">
        <w:rPr>
          <w:rFonts w:ascii="Arial" w:hAnsi="Arial" w:cs="Arial"/>
          <w:sz w:val="22"/>
          <w:szCs w:val="22"/>
        </w:rPr>
        <w:t>:</w:t>
      </w:r>
    </w:p>
    <w:tbl>
      <w:tblPr>
        <w:tblW w:w="9360" w:type="dxa"/>
        <w:tblBorders>
          <w:top w:val="single" w:sz="2" w:space="0" w:color="9FB3C8"/>
          <w:left w:val="single" w:sz="2" w:space="0" w:color="9FB3C8"/>
          <w:bottom w:val="single" w:sz="2" w:space="0" w:color="9FB3C8"/>
          <w:right w:val="single" w:sz="2" w:space="0" w:color="9FB3C8"/>
          <w:insideH w:val="single" w:sz="2" w:space="0" w:color="9FB3C8"/>
          <w:insideV w:val="single" w:sz="2" w:space="0" w:color="9FB3C8"/>
        </w:tblBorders>
        <w:tblCellMar>
          <w:left w:w="10" w:type="dxa"/>
          <w:right w:w="10" w:type="dxa"/>
        </w:tblCellMar>
        <w:tblLook w:val="0000" w:firstRow="0" w:lastRow="0" w:firstColumn="0" w:lastColumn="0" w:noHBand="0" w:noVBand="0"/>
      </w:tblPr>
      <w:tblGrid>
        <w:gridCol w:w="2600"/>
        <w:gridCol w:w="6760"/>
      </w:tblGrid>
      <w:tr w:rsidR="005150D9" w:rsidRPr="00121667" w14:paraId="144D82A1" w14:textId="77777777">
        <w:tblPrEx>
          <w:tblCellMar>
            <w:top w:w="0" w:type="dxa"/>
            <w:bottom w:w="0" w:type="dxa"/>
          </w:tblCellMar>
        </w:tblPrEx>
        <w:trPr>
          <w:tblHeader/>
        </w:trPr>
        <w:tc>
          <w:tcPr>
            <w:tcW w:w="2600" w:type="dxa"/>
            <w:shd w:val="clear" w:color="auto" w:fill="1F3A5F"/>
            <w:tcMar>
              <w:top w:w="80" w:type="dxa"/>
              <w:left w:w="110" w:type="dxa"/>
              <w:bottom w:w="80" w:type="dxa"/>
              <w:right w:w="110" w:type="dxa"/>
            </w:tcMar>
            <w:vAlign w:val="center"/>
          </w:tcPr>
          <w:p w14:paraId="1EB7A1B0" w14:textId="77777777" w:rsidR="005150D9" w:rsidRPr="00121667" w:rsidRDefault="00000000">
            <w:pPr>
              <w:rPr>
                <w:rFonts w:ascii="Arial" w:hAnsi="Arial" w:cs="Arial"/>
                <w:sz w:val="22"/>
                <w:szCs w:val="22"/>
              </w:rPr>
            </w:pPr>
            <w:r w:rsidRPr="00121667">
              <w:rPr>
                <w:rFonts w:ascii="Arial" w:hAnsi="Arial" w:cs="Arial"/>
                <w:b/>
                <w:bCs/>
                <w:color w:val="FFFFFF"/>
                <w:sz w:val="22"/>
                <w:szCs w:val="22"/>
              </w:rPr>
              <w:lastRenderedPageBreak/>
              <w:t>Prohibited practice</w:t>
            </w:r>
          </w:p>
        </w:tc>
        <w:tc>
          <w:tcPr>
            <w:tcW w:w="6760" w:type="dxa"/>
            <w:shd w:val="clear" w:color="auto" w:fill="1F3A5F"/>
            <w:tcMar>
              <w:top w:w="80" w:type="dxa"/>
              <w:left w:w="110" w:type="dxa"/>
              <w:bottom w:w="80" w:type="dxa"/>
              <w:right w:w="110" w:type="dxa"/>
            </w:tcMar>
            <w:vAlign w:val="center"/>
          </w:tcPr>
          <w:p w14:paraId="05C29151" w14:textId="77777777" w:rsidR="005150D9" w:rsidRPr="00121667" w:rsidRDefault="00000000">
            <w:pPr>
              <w:rPr>
                <w:rFonts w:ascii="Arial" w:hAnsi="Arial" w:cs="Arial"/>
                <w:sz w:val="22"/>
                <w:szCs w:val="22"/>
              </w:rPr>
            </w:pPr>
            <w:r w:rsidRPr="00121667">
              <w:rPr>
                <w:rFonts w:ascii="Arial" w:hAnsi="Arial" w:cs="Arial"/>
                <w:b/>
                <w:bCs/>
                <w:color w:val="FFFFFF"/>
                <w:sz w:val="22"/>
                <w:szCs w:val="22"/>
              </w:rPr>
              <w:t>What it means</w:t>
            </w:r>
          </w:p>
        </w:tc>
      </w:tr>
      <w:tr w:rsidR="005150D9" w:rsidRPr="00121667" w14:paraId="1E10F3AB" w14:textId="77777777">
        <w:tblPrEx>
          <w:tblCellMar>
            <w:top w:w="0" w:type="dxa"/>
            <w:bottom w:w="0" w:type="dxa"/>
          </w:tblCellMar>
        </w:tblPrEx>
        <w:tc>
          <w:tcPr>
            <w:tcW w:w="2600" w:type="dxa"/>
            <w:tcMar>
              <w:top w:w="70" w:type="dxa"/>
              <w:left w:w="110" w:type="dxa"/>
              <w:bottom w:w="70" w:type="dxa"/>
              <w:right w:w="110" w:type="dxa"/>
            </w:tcMar>
            <w:vAlign w:val="center"/>
          </w:tcPr>
          <w:p w14:paraId="7C9928C9" w14:textId="77777777" w:rsidR="005150D9" w:rsidRPr="00121667" w:rsidRDefault="00000000">
            <w:pPr>
              <w:rPr>
                <w:rFonts w:ascii="Arial" w:hAnsi="Arial" w:cs="Arial"/>
                <w:sz w:val="22"/>
                <w:szCs w:val="22"/>
              </w:rPr>
            </w:pPr>
            <w:r w:rsidRPr="00121667">
              <w:rPr>
                <w:rFonts w:ascii="Arial" w:hAnsi="Arial" w:cs="Arial"/>
                <w:b/>
                <w:bCs/>
                <w:sz w:val="22"/>
                <w:szCs w:val="22"/>
              </w:rPr>
              <w:t>Failure to give total price</w:t>
            </w:r>
          </w:p>
        </w:tc>
        <w:tc>
          <w:tcPr>
            <w:tcW w:w="6760" w:type="dxa"/>
            <w:tcMar>
              <w:top w:w="70" w:type="dxa"/>
              <w:left w:w="110" w:type="dxa"/>
              <w:bottom w:w="70" w:type="dxa"/>
              <w:right w:w="110" w:type="dxa"/>
            </w:tcMar>
            <w:vAlign w:val="center"/>
          </w:tcPr>
          <w:p w14:paraId="1ABEA01B" w14:textId="77777777" w:rsidR="005150D9" w:rsidRPr="00121667" w:rsidRDefault="00000000">
            <w:pPr>
              <w:rPr>
                <w:rFonts w:ascii="Arial" w:hAnsi="Arial" w:cs="Arial"/>
                <w:sz w:val="22"/>
                <w:szCs w:val="22"/>
              </w:rPr>
            </w:pPr>
            <w:r w:rsidRPr="00121667">
              <w:rPr>
                <w:rFonts w:ascii="Arial" w:hAnsi="Arial" w:cs="Arial"/>
                <w:sz w:val="22"/>
                <w:szCs w:val="22"/>
              </w:rPr>
              <w:t>Showing the price of a part or component without giving the total price for the product or service.</w:t>
            </w:r>
          </w:p>
        </w:tc>
      </w:tr>
      <w:tr w:rsidR="005150D9" w:rsidRPr="00121667" w14:paraId="1132D72E" w14:textId="77777777">
        <w:tblPrEx>
          <w:tblCellMar>
            <w:top w:w="0" w:type="dxa"/>
            <w:bottom w:w="0" w:type="dxa"/>
          </w:tblCellMar>
        </w:tblPrEx>
        <w:tc>
          <w:tcPr>
            <w:tcW w:w="2600" w:type="dxa"/>
            <w:shd w:val="clear" w:color="auto" w:fill="F4F7FA"/>
            <w:tcMar>
              <w:top w:w="70" w:type="dxa"/>
              <w:left w:w="110" w:type="dxa"/>
              <w:bottom w:w="70" w:type="dxa"/>
              <w:right w:w="110" w:type="dxa"/>
            </w:tcMar>
            <w:vAlign w:val="center"/>
          </w:tcPr>
          <w:p w14:paraId="0B60A205" w14:textId="77777777" w:rsidR="005150D9" w:rsidRPr="00121667" w:rsidRDefault="00000000">
            <w:pPr>
              <w:rPr>
                <w:rFonts w:ascii="Arial" w:hAnsi="Arial" w:cs="Arial"/>
                <w:sz w:val="22"/>
                <w:szCs w:val="22"/>
              </w:rPr>
            </w:pPr>
            <w:r w:rsidRPr="00121667">
              <w:rPr>
                <w:rFonts w:ascii="Arial" w:hAnsi="Arial" w:cs="Arial"/>
                <w:b/>
                <w:bCs/>
                <w:sz w:val="22"/>
                <w:szCs w:val="22"/>
              </w:rPr>
              <w:t xml:space="preserve">Less prominence </w:t>
            </w:r>
            <w:proofErr w:type="gramStart"/>
            <w:r w:rsidRPr="00121667">
              <w:rPr>
                <w:rFonts w:ascii="Arial" w:hAnsi="Arial" w:cs="Arial"/>
                <w:b/>
                <w:bCs/>
                <w:sz w:val="22"/>
                <w:szCs w:val="22"/>
              </w:rPr>
              <w:t>to</w:t>
            </w:r>
            <w:proofErr w:type="gramEnd"/>
            <w:r w:rsidRPr="00121667">
              <w:rPr>
                <w:rFonts w:ascii="Arial" w:hAnsi="Arial" w:cs="Arial"/>
                <w:b/>
                <w:bCs/>
                <w:sz w:val="22"/>
                <w:szCs w:val="22"/>
              </w:rPr>
              <w:t xml:space="preserve"> total price</w:t>
            </w:r>
          </w:p>
        </w:tc>
        <w:tc>
          <w:tcPr>
            <w:tcW w:w="6760" w:type="dxa"/>
            <w:shd w:val="clear" w:color="auto" w:fill="F4F7FA"/>
            <w:tcMar>
              <w:top w:w="70" w:type="dxa"/>
              <w:left w:w="110" w:type="dxa"/>
              <w:bottom w:w="70" w:type="dxa"/>
              <w:right w:w="110" w:type="dxa"/>
            </w:tcMar>
            <w:vAlign w:val="center"/>
          </w:tcPr>
          <w:p w14:paraId="15344474" w14:textId="77777777" w:rsidR="005150D9" w:rsidRPr="00121667" w:rsidRDefault="00000000">
            <w:pPr>
              <w:rPr>
                <w:rFonts w:ascii="Arial" w:hAnsi="Arial" w:cs="Arial"/>
                <w:sz w:val="22"/>
                <w:szCs w:val="22"/>
              </w:rPr>
            </w:pPr>
            <w:r w:rsidRPr="00121667">
              <w:rPr>
                <w:rFonts w:ascii="Arial" w:hAnsi="Arial" w:cs="Arial"/>
                <w:sz w:val="22"/>
                <w:szCs w:val="22"/>
              </w:rPr>
              <w:t>Showing a unit, installment, or component price without giving the total at least equal prominence.</w:t>
            </w:r>
          </w:p>
        </w:tc>
      </w:tr>
      <w:tr w:rsidR="005150D9" w:rsidRPr="00121667" w14:paraId="43DD5063" w14:textId="77777777">
        <w:tblPrEx>
          <w:tblCellMar>
            <w:top w:w="0" w:type="dxa"/>
            <w:bottom w:w="0" w:type="dxa"/>
          </w:tblCellMar>
        </w:tblPrEx>
        <w:tc>
          <w:tcPr>
            <w:tcW w:w="2600" w:type="dxa"/>
            <w:tcMar>
              <w:top w:w="70" w:type="dxa"/>
              <w:left w:w="110" w:type="dxa"/>
              <w:bottom w:w="70" w:type="dxa"/>
              <w:right w:w="110" w:type="dxa"/>
            </w:tcMar>
            <w:vAlign w:val="center"/>
          </w:tcPr>
          <w:p w14:paraId="6675CCA9" w14:textId="77777777" w:rsidR="005150D9" w:rsidRPr="00121667" w:rsidRDefault="00000000">
            <w:pPr>
              <w:rPr>
                <w:rFonts w:ascii="Arial" w:hAnsi="Arial" w:cs="Arial"/>
                <w:sz w:val="22"/>
                <w:szCs w:val="22"/>
              </w:rPr>
            </w:pPr>
            <w:r w:rsidRPr="00121667">
              <w:rPr>
                <w:rFonts w:ascii="Arial" w:hAnsi="Arial" w:cs="Arial"/>
                <w:b/>
                <w:bCs/>
                <w:sz w:val="22"/>
                <w:szCs w:val="22"/>
              </w:rPr>
              <w:t>False price benefit or advantage</w:t>
            </w:r>
          </w:p>
        </w:tc>
        <w:tc>
          <w:tcPr>
            <w:tcW w:w="6760" w:type="dxa"/>
            <w:tcMar>
              <w:top w:w="70" w:type="dxa"/>
              <w:left w:w="110" w:type="dxa"/>
              <w:bottom w:w="70" w:type="dxa"/>
              <w:right w:w="110" w:type="dxa"/>
            </w:tcMar>
            <w:vAlign w:val="center"/>
          </w:tcPr>
          <w:p w14:paraId="50395E23" w14:textId="54FD0C63" w:rsidR="005150D9" w:rsidRPr="00121667" w:rsidRDefault="00000000">
            <w:pPr>
              <w:rPr>
                <w:rFonts w:ascii="Arial" w:hAnsi="Arial" w:cs="Arial"/>
                <w:sz w:val="22"/>
                <w:szCs w:val="22"/>
              </w:rPr>
            </w:pPr>
            <w:r w:rsidRPr="00121667">
              <w:rPr>
                <w:rFonts w:ascii="Arial" w:hAnsi="Arial" w:cs="Arial"/>
                <w:sz w:val="22"/>
                <w:szCs w:val="22"/>
              </w:rPr>
              <w:t>Any representation that leads a reasonable person to believe a discount or advantage exists when it does not</w:t>
            </w:r>
            <w:r w:rsidR="00F53911">
              <w:rPr>
                <w:rFonts w:ascii="Arial" w:hAnsi="Arial" w:cs="Arial"/>
                <w:sz w:val="22"/>
                <w:szCs w:val="22"/>
              </w:rPr>
              <w:t>.</w:t>
            </w:r>
          </w:p>
        </w:tc>
      </w:tr>
    </w:tbl>
    <w:p w14:paraId="1C61C07B" w14:textId="77777777" w:rsidR="005150D9" w:rsidRPr="00121667" w:rsidRDefault="005150D9">
      <w:pPr>
        <w:spacing w:after="60"/>
        <w:rPr>
          <w:rFonts w:ascii="Arial" w:hAnsi="Arial" w:cs="Arial"/>
          <w:sz w:val="22"/>
          <w:szCs w:val="22"/>
        </w:rPr>
      </w:pPr>
    </w:p>
    <w:p w14:paraId="5DF71D9F" w14:textId="77777777" w:rsidR="00F53911" w:rsidRPr="00D02C25" w:rsidRDefault="00000000" w:rsidP="00F53911">
      <w:pPr>
        <w:spacing w:after="140" w:line="276" w:lineRule="auto"/>
        <w:rPr>
          <w:rFonts w:ascii="Arial" w:hAnsi="Arial" w:cs="Arial"/>
          <w:color w:val="000000" w:themeColor="text1"/>
          <w:sz w:val="22"/>
          <w:szCs w:val="22"/>
        </w:rPr>
      </w:pPr>
      <w:r w:rsidRPr="00D02C25">
        <w:rPr>
          <w:rFonts w:ascii="Arial" w:hAnsi="Arial" w:cs="Arial"/>
          <w:color w:val="000000" w:themeColor="text1"/>
          <w:sz w:val="22"/>
          <w:szCs w:val="22"/>
        </w:rPr>
        <w:t>These are backed by broad prohibitions on false or misleading representations</w:t>
      </w:r>
      <w:r w:rsidR="00F53911" w:rsidRPr="00D02C25">
        <w:rPr>
          <w:rFonts w:ascii="Arial" w:hAnsi="Arial" w:cs="Arial"/>
          <w:color w:val="000000" w:themeColor="text1"/>
          <w:sz w:val="22"/>
          <w:szCs w:val="22"/>
        </w:rPr>
        <w:t>, including failing to disclose a material fact,</w:t>
      </w:r>
      <w:r w:rsidRPr="00D02C25">
        <w:rPr>
          <w:rFonts w:ascii="Arial" w:hAnsi="Arial" w:cs="Arial"/>
          <w:color w:val="000000" w:themeColor="text1"/>
          <w:sz w:val="22"/>
          <w:szCs w:val="22"/>
        </w:rPr>
        <w:t xml:space="preserve"> so drip pricing can be caught even where a statute doesn't name it. Newfoundland &amp; Labrador, Prince Edward Island, New Brunswick, Ontario, Manitoba, Saskatchewan, Alberta, and British Columbia all have regimes of this kind, with New Brunswick, Saskatchewan, and Alberta among those addressing the total-price and prominence points most explicitly.</w:t>
      </w:r>
    </w:p>
    <w:p w14:paraId="058F852A" w14:textId="01F64A3C" w:rsidR="005150D9" w:rsidRPr="00D02C25" w:rsidRDefault="00D02C25" w:rsidP="00F53911">
      <w:pPr>
        <w:spacing w:after="140" w:line="276" w:lineRule="auto"/>
        <w:rPr>
          <w:rFonts w:ascii="Arial" w:hAnsi="Arial" w:cs="Arial"/>
          <w:color w:val="000000" w:themeColor="text1"/>
          <w:sz w:val="22"/>
          <w:szCs w:val="22"/>
        </w:rPr>
      </w:pPr>
      <w:r w:rsidRPr="00D02C25">
        <w:rPr>
          <w:rFonts w:ascii="Arial" w:eastAsia="Georgia" w:hAnsi="Arial" w:cs="Arial"/>
          <w:b/>
          <w:bCs/>
          <w:color w:val="000000" w:themeColor="text1"/>
          <w:sz w:val="22"/>
          <w:szCs w:val="22"/>
        </w:rPr>
        <w:t>5. WHERE OUR INDUSTRY CREATES RISK</w:t>
      </w:r>
    </w:p>
    <w:p w14:paraId="6DF43E59" w14:textId="4CB32815" w:rsidR="005150D9" w:rsidRPr="00D02C25" w:rsidRDefault="00000000">
      <w:pPr>
        <w:spacing w:after="140" w:line="276" w:lineRule="auto"/>
        <w:rPr>
          <w:rFonts w:ascii="Arial" w:hAnsi="Arial" w:cs="Arial"/>
          <w:color w:val="000000" w:themeColor="text1"/>
          <w:sz w:val="22"/>
          <w:szCs w:val="22"/>
        </w:rPr>
      </w:pPr>
      <w:r w:rsidRPr="00D02C25">
        <w:rPr>
          <w:rFonts w:ascii="Arial" w:hAnsi="Arial" w:cs="Arial"/>
          <w:color w:val="000000" w:themeColor="text1"/>
          <w:sz w:val="22"/>
          <w:szCs w:val="22"/>
        </w:rPr>
        <w:t xml:space="preserve">The legal review looked at how member websites present prices, across two common models: a </w:t>
      </w:r>
      <w:r w:rsidRPr="00D02C25">
        <w:rPr>
          <w:rFonts w:ascii="Arial" w:hAnsi="Arial" w:cs="Arial"/>
          <w:b/>
          <w:bCs/>
          <w:color w:val="000000" w:themeColor="text1"/>
          <w:sz w:val="22"/>
          <w:szCs w:val="22"/>
        </w:rPr>
        <w:t>non-transactional</w:t>
      </w:r>
      <w:r w:rsidRPr="00D02C25">
        <w:rPr>
          <w:rFonts w:ascii="Arial" w:hAnsi="Arial" w:cs="Arial"/>
          <w:color w:val="000000" w:themeColor="text1"/>
          <w:sz w:val="22"/>
          <w:szCs w:val="22"/>
        </w:rPr>
        <w:t xml:space="preserve"> model, where a customer reserves online but must call, text, email, or visit to complete the rental; and a </w:t>
      </w:r>
      <w:r w:rsidRPr="00D02C25">
        <w:rPr>
          <w:rFonts w:ascii="Arial" w:hAnsi="Arial" w:cs="Arial"/>
          <w:b/>
          <w:bCs/>
          <w:color w:val="000000" w:themeColor="text1"/>
          <w:sz w:val="22"/>
          <w:szCs w:val="22"/>
        </w:rPr>
        <w:t>transactional</w:t>
      </w:r>
      <w:r w:rsidRPr="00D02C25">
        <w:rPr>
          <w:rFonts w:ascii="Arial" w:hAnsi="Arial" w:cs="Arial"/>
          <w:color w:val="000000" w:themeColor="text1"/>
          <w:sz w:val="22"/>
          <w:szCs w:val="22"/>
        </w:rPr>
        <w:t xml:space="preserve"> model, where the rental is completed online through a series of screens ending in an order summary. In the non-transactional model</w:t>
      </w:r>
      <w:r w:rsidR="00121667" w:rsidRPr="00D02C25">
        <w:rPr>
          <w:rFonts w:ascii="Arial" w:hAnsi="Arial" w:cs="Arial"/>
          <w:color w:val="000000" w:themeColor="text1"/>
          <w:sz w:val="22"/>
          <w:szCs w:val="22"/>
        </w:rPr>
        <w:t>, the customer often never sees a full price online; in the transactional model, fees are frequently added screen by screen,</w:t>
      </w:r>
      <w:r w:rsidRPr="00D02C25">
        <w:rPr>
          <w:rFonts w:ascii="Arial" w:hAnsi="Arial" w:cs="Arial"/>
          <w:color w:val="000000" w:themeColor="text1"/>
          <w:sz w:val="22"/>
          <w:szCs w:val="22"/>
        </w:rPr>
        <w:t xml:space="preserve"> so the checkout total exceeds the headline. Both models can drip. Four practice patterns stand out.</w:t>
      </w:r>
    </w:p>
    <w:p w14:paraId="4E08DA78" w14:textId="11571071" w:rsidR="005150D9" w:rsidRPr="00D02C25" w:rsidRDefault="00F53911" w:rsidP="00F53911">
      <w:pPr>
        <w:pStyle w:val="Heading2"/>
        <w:numPr>
          <w:ilvl w:val="0"/>
          <w:numId w:val="6"/>
        </w:numPr>
        <w:rPr>
          <w:rFonts w:ascii="Arial" w:hAnsi="Arial" w:cs="Arial"/>
          <w:color w:val="000000" w:themeColor="text1"/>
          <w:sz w:val="22"/>
          <w:szCs w:val="22"/>
        </w:rPr>
      </w:pPr>
      <w:r w:rsidRPr="00D02C25">
        <w:rPr>
          <w:rFonts w:ascii="Arial" w:hAnsi="Arial" w:cs="Arial"/>
          <w:color w:val="000000" w:themeColor="text1"/>
          <w:sz w:val="22"/>
          <w:szCs w:val="22"/>
        </w:rPr>
        <w:t>Headline</w:t>
      </w:r>
      <w:r w:rsidR="00000000" w:rsidRPr="00D02C25">
        <w:rPr>
          <w:rFonts w:ascii="Arial" w:hAnsi="Arial" w:cs="Arial"/>
          <w:color w:val="000000" w:themeColor="text1"/>
          <w:sz w:val="22"/>
          <w:szCs w:val="22"/>
        </w:rPr>
        <w:t xml:space="preserve"> price that excludes mandatory fees</w:t>
      </w:r>
    </w:p>
    <w:p w14:paraId="44B20B08" w14:textId="77777777" w:rsidR="005150D9" w:rsidRPr="00D02C25" w:rsidRDefault="00000000" w:rsidP="00F53911">
      <w:pPr>
        <w:pStyle w:val="ListParagraph"/>
        <w:spacing w:after="80" w:line="276" w:lineRule="auto"/>
        <w:ind w:left="720"/>
        <w:rPr>
          <w:rFonts w:ascii="Arial" w:hAnsi="Arial" w:cs="Arial"/>
          <w:color w:val="000000" w:themeColor="text1"/>
          <w:sz w:val="22"/>
          <w:szCs w:val="22"/>
        </w:rPr>
      </w:pPr>
      <w:r w:rsidRPr="00D02C25">
        <w:rPr>
          <w:rFonts w:ascii="Arial" w:hAnsi="Arial" w:cs="Arial"/>
          <w:color w:val="000000" w:themeColor="text1"/>
          <w:sz w:val="22"/>
          <w:szCs w:val="22"/>
        </w:rPr>
        <w:t>The most common issue: the first price shown for a unit is lower than the total a customer must pay, because unavoidable fees sit outside it. Three recurring fee types:</w:t>
      </w:r>
    </w:p>
    <w:p w14:paraId="7D5DF8C9" w14:textId="07DB3404" w:rsidR="005150D9" w:rsidRPr="00D02C25" w:rsidRDefault="00000000" w:rsidP="00F53911">
      <w:pPr>
        <w:pStyle w:val="ListParagraph"/>
        <w:numPr>
          <w:ilvl w:val="0"/>
          <w:numId w:val="7"/>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Administration fees. </w:t>
      </w:r>
      <w:proofErr w:type="gramStart"/>
      <w:r w:rsidRPr="00D02C25">
        <w:rPr>
          <w:rFonts w:ascii="Arial" w:hAnsi="Arial" w:cs="Arial"/>
          <w:color w:val="000000" w:themeColor="text1"/>
          <w:sz w:val="22"/>
          <w:szCs w:val="22"/>
        </w:rPr>
        <w:t>Usually</w:t>
      </w:r>
      <w:proofErr w:type="gramEnd"/>
      <w:r w:rsidRPr="00D02C25">
        <w:rPr>
          <w:rFonts w:ascii="Arial" w:hAnsi="Arial" w:cs="Arial"/>
          <w:color w:val="000000" w:themeColor="text1"/>
          <w:sz w:val="22"/>
          <w:szCs w:val="22"/>
        </w:rPr>
        <w:t xml:space="preserve"> a one-time fee at the start of the rental; sometimes a set-up fee plus a recurring administration charge. These are mandatory, yet </w:t>
      </w:r>
      <w:r w:rsidR="00121667" w:rsidRPr="00D02C25">
        <w:rPr>
          <w:rFonts w:ascii="Arial" w:hAnsi="Arial" w:cs="Arial"/>
          <w:color w:val="000000" w:themeColor="text1"/>
          <w:sz w:val="22"/>
          <w:szCs w:val="22"/>
        </w:rPr>
        <w:t>often disclosed only at checkout, in the order summary, or via footnotes</w:t>
      </w:r>
      <w:r w:rsidR="00D02C25">
        <w:rPr>
          <w:rFonts w:ascii="Arial" w:hAnsi="Arial" w:cs="Arial"/>
          <w:color w:val="000000" w:themeColor="text1"/>
          <w:sz w:val="22"/>
          <w:szCs w:val="22"/>
        </w:rPr>
        <w:t xml:space="preserve"> </w:t>
      </w:r>
      <w:r w:rsidRPr="00D02C25">
        <w:rPr>
          <w:rFonts w:ascii="Arial" w:hAnsi="Arial" w:cs="Arial"/>
          <w:color w:val="000000" w:themeColor="text1"/>
          <w:sz w:val="22"/>
          <w:szCs w:val="22"/>
        </w:rPr>
        <w:t>not in the headline.</w:t>
      </w:r>
    </w:p>
    <w:p w14:paraId="191E30C8" w14:textId="55F7B58E" w:rsidR="005150D9" w:rsidRPr="00D02C25" w:rsidRDefault="00000000" w:rsidP="00F53911">
      <w:pPr>
        <w:pStyle w:val="ListParagraph"/>
        <w:numPr>
          <w:ilvl w:val="0"/>
          <w:numId w:val="7"/>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Insurance / contents-protection fees. </w:t>
      </w:r>
      <w:r w:rsidRPr="00D02C25">
        <w:rPr>
          <w:rFonts w:ascii="Arial" w:hAnsi="Arial" w:cs="Arial"/>
          <w:color w:val="000000" w:themeColor="text1"/>
          <w:sz w:val="22"/>
          <w:szCs w:val="22"/>
        </w:rPr>
        <w:t xml:space="preserve">Frequently added by default. Sometimes there is no meaningful way to opt out, making the fee effectively mandatory. Sometimes opt-out is allowed only </w:t>
      </w:r>
      <w:r w:rsidR="00D02C25">
        <w:rPr>
          <w:rFonts w:ascii="Arial" w:hAnsi="Arial" w:cs="Arial"/>
          <w:color w:val="000000" w:themeColor="text1"/>
          <w:sz w:val="22"/>
          <w:szCs w:val="22"/>
        </w:rPr>
        <w:t>with proof of equivalent coverage, and if that proof is required only at move-in, the customer still pays the fee at checkout,</w:t>
      </w:r>
      <w:r w:rsidRPr="00D02C25">
        <w:rPr>
          <w:rFonts w:ascii="Arial" w:hAnsi="Arial" w:cs="Arial"/>
          <w:color w:val="000000" w:themeColor="text1"/>
          <w:sz w:val="22"/>
          <w:szCs w:val="22"/>
        </w:rPr>
        <w:t xml:space="preserve"> even if it's later refundable. In most cases</w:t>
      </w:r>
      <w:r w:rsidR="00121667" w:rsidRPr="00D02C25">
        <w:rPr>
          <w:rFonts w:ascii="Arial" w:hAnsi="Arial" w:cs="Arial"/>
          <w:color w:val="000000" w:themeColor="text1"/>
          <w:sz w:val="22"/>
          <w:szCs w:val="22"/>
        </w:rPr>
        <w:t>,</w:t>
      </w:r>
      <w:r w:rsidRPr="00D02C25">
        <w:rPr>
          <w:rFonts w:ascii="Arial" w:hAnsi="Arial" w:cs="Arial"/>
          <w:color w:val="000000" w:themeColor="text1"/>
          <w:sz w:val="22"/>
          <w:szCs w:val="22"/>
        </w:rPr>
        <w:t xml:space="preserve"> the fee is left out of the headline.</w:t>
      </w:r>
    </w:p>
    <w:p w14:paraId="36422294" w14:textId="2C324D5C" w:rsidR="005150D9" w:rsidRPr="00D02C25" w:rsidRDefault="00000000" w:rsidP="00F53911">
      <w:pPr>
        <w:pStyle w:val="ListParagraph"/>
        <w:numPr>
          <w:ilvl w:val="0"/>
          <w:numId w:val="7"/>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Lock fees. </w:t>
      </w:r>
      <w:r w:rsidRPr="00D02C25">
        <w:rPr>
          <w:rFonts w:ascii="Arial" w:hAnsi="Arial" w:cs="Arial"/>
          <w:color w:val="000000" w:themeColor="text1"/>
          <w:sz w:val="22"/>
          <w:szCs w:val="22"/>
        </w:rPr>
        <w:t xml:space="preserve">A padlock is typically required to secure the unit. Websites are often unclear about whether the customer must buy the lock from the operator. </w:t>
      </w:r>
      <w:r w:rsidR="00D02C25">
        <w:rPr>
          <w:rFonts w:ascii="Arial" w:hAnsi="Arial" w:cs="Arial"/>
          <w:color w:val="000000" w:themeColor="text1"/>
          <w:sz w:val="22"/>
          <w:szCs w:val="22"/>
        </w:rPr>
        <w:t>When they must, the lock fee is mandatory, but it's often</w:t>
      </w:r>
      <w:r w:rsidRPr="00D02C25">
        <w:rPr>
          <w:rFonts w:ascii="Arial" w:hAnsi="Arial" w:cs="Arial"/>
          <w:color w:val="000000" w:themeColor="text1"/>
          <w:sz w:val="22"/>
          <w:szCs w:val="22"/>
        </w:rPr>
        <w:t xml:space="preserve"> disclosed late or buried in an FAQ.</w:t>
      </w:r>
    </w:p>
    <w:p w14:paraId="22354AE7" w14:textId="4DD6230F" w:rsidR="005150D9" w:rsidRPr="00D02C25" w:rsidRDefault="00000000" w:rsidP="00F53911">
      <w:pPr>
        <w:pStyle w:val="Heading2"/>
        <w:numPr>
          <w:ilvl w:val="0"/>
          <w:numId w:val="6"/>
        </w:numPr>
        <w:rPr>
          <w:rFonts w:ascii="Arial" w:hAnsi="Arial" w:cs="Arial"/>
          <w:color w:val="000000" w:themeColor="text1"/>
          <w:sz w:val="22"/>
          <w:szCs w:val="22"/>
        </w:rPr>
      </w:pPr>
      <w:r w:rsidRPr="00D02C25">
        <w:rPr>
          <w:rFonts w:ascii="Arial" w:hAnsi="Arial" w:cs="Arial"/>
          <w:color w:val="000000" w:themeColor="text1"/>
          <w:sz w:val="22"/>
          <w:szCs w:val="22"/>
        </w:rPr>
        <w:t>Promotions layered on the headline</w:t>
      </w:r>
    </w:p>
    <w:p w14:paraId="7187502A" w14:textId="77777777" w:rsidR="005150D9" w:rsidRPr="00D02C25" w:rsidRDefault="00000000" w:rsidP="00F53911">
      <w:pPr>
        <w:spacing w:after="80" w:line="276" w:lineRule="auto"/>
        <w:ind w:left="720"/>
        <w:rPr>
          <w:rFonts w:ascii="Arial" w:hAnsi="Arial" w:cs="Arial"/>
          <w:color w:val="000000" w:themeColor="text1"/>
          <w:sz w:val="22"/>
          <w:szCs w:val="22"/>
        </w:rPr>
      </w:pPr>
      <w:r w:rsidRPr="00D02C25">
        <w:rPr>
          <w:rFonts w:ascii="Arial" w:hAnsi="Arial" w:cs="Arial"/>
          <w:color w:val="000000" w:themeColor="text1"/>
          <w:sz w:val="22"/>
          <w:szCs w:val="22"/>
        </w:rPr>
        <w:t>Headline prices are very often paired with a time-limited promotion. Three formats appear:</w:t>
      </w:r>
    </w:p>
    <w:p w14:paraId="6F1B49B3" w14:textId="3F6F0E0F" w:rsidR="005150D9" w:rsidRPr="00D02C25" w:rsidRDefault="00000000" w:rsidP="00D36A38">
      <w:pPr>
        <w:pStyle w:val="ListParagraph"/>
        <w:numPr>
          <w:ilvl w:val="0"/>
          <w:numId w:val="8"/>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Percentage discounts</w:t>
      </w:r>
      <w:r w:rsidR="00D02C25">
        <w:rPr>
          <w:rFonts w:ascii="Arial" w:hAnsi="Arial" w:cs="Arial"/>
          <w:color w:val="000000" w:themeColor="text1"/>
          <w:sz w:val="22"/>
          <w:szCs w:val="22"/>
        </w:rPr>
        <w:t>:</w:t>
      </w:r>
      <w:r w:rsidRPr="00D02C25">
        <w:rPr>
          <w:rFonts w:ascii="Arial" w:hAnsi="Arial" w:cs="Arial"/>
          <w:color w:val="000000" w:themeColor="text1"/>
          <w:sz w:val="22"/>
          <w:szCs w:val="22"/>
        </w:rPr>
        <w:t xml:space="preserve"> e.g. “up to X% off,” usually for the first weeks or months.</w:t>
      </w:r>
    </w:p>
    <w:p w14:paraId="04E74E58" w14:textId="25746A53" w:rsidR="005150D9" w:rsidRPr="00D02C25" w:rsidRDefault="00000000" w:rsidP="00D36A38">
      <w:pPr>
        <w:pStyle w:val="ListParagraph"/>
        <w:numPr>
          <w:ilvl w:val="0"/>
          <w:numId w:val="8"/>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lastRenderedPageBreak/>
        <w:t>Free periods</w:t>
      </w:r>
      <w:r w:rsidR="00D02C25">
        <w:rPr>
          <w:rFonts w:ascii="Arial" w:hAnsi="Arial" w:cs="Arial"/>
          <w:color w:val="000000" w:themeColor="text1"/>
          <w:sz w:val="22"/>
          <w:szCs w:val="22"/>
        </w:rPr>
        <w:t xml:space="preserve">: </w:t>
      </w:r>
      <w:r w:rsidRPr="00D02C25">
        <w:rPr>
          <w:rFonts w:ascii="Arial" w:hAnsi="Arial" w:cs="Arial"/>
          <w:color w:val="000000" w:themeColor="text1"/>
          <w:sz w:val="22"/>
          <w:szCs w:val="22"/>
        </w:rPr>
        <w:t>e.g. “first month free” or “one month free.”</w:t>
      </w:r>
    </w:p>
    <w:p w14:paraId="38B53241" w14:textId="479EC9C2" w:rsidR="005150D9" w:rsidRPr="00D02C25" w:rsidRDefault="00000000" w:rsidP="00D36A38">
      <w:pPr>
        <w:pStyle w:val="ListParagraph"/>
        <w:numPr>
          <w:ilvl w:val="0"/>
          <w:numId w:val="8"/>
        </w:numPr>
        <w:spacing w:after="8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Promotional prices</w:t>
      </w:r>
      <w:r w:rsidR="00D02C25">
        <w:rPr>
          <w:rFonts w:ascii="Arial" w:hAnsi="Arial" w:cs="Arial"/>
          <w:color w:val="000000" w:themeColor="text1"/>
          <w:sz w:val="22"/>
          <w:szCs w:val="22"/>
        </w:rPr>
        <w:t xml:space="preserve">: </w:t>
      </w:r>
      <w:r w:rsidRPr="00D02C25">
        <w:rPr>
          <w:rFonts w:ascii="Arial" w:hAnsi="Arial" w:cs="Arial"/>
          <w:color w:val="000000" w:themeColor="text1"/>
          <w:sz w:val="22"/>
          <w:szCs w:val="22"/>
        </w:rPr>
        <w:t>a nominal figure such as “$1 for the first month,” or a promo price shown prominently next to a crossed-out standard price.</w:t>
      </w:r>
    </w:p>
    <w:p w14:paraId="71544F58" w14:textId="6C6A9D44" w:rsidR="005150D9" w:rsidRPr="00D02C25" w:rsidRDefault="00000000" w:rsidP="00F53911">
      <w:pPr>
        <w:spacing w:after="80" w:line="276" w:lineRule="auto"/>
        <w:ind w:left="720"/>
        <w:rPr>
          <w:rFonts w:ascii="Arial" w:hAnsi="Arial" w:cs="Arial"/>
          <w:color w:val="000000" w:themeColor="text1"/>
          <w:sz w:val="22"/>
          <w:szCs w:val="22"/>
        </w:rPr>
      </w:pPr>
      <w:r w:rsidRPr="00D02C25">
        <w:rPr>
          <w:rFonts w:ascii="Arial" w:hAnsi="Arial" w:cs="Arial"/>
          <w:color w:val="000000" w:themeColor="text1"/>
          <w:sz w:val="22"/>
          <w:szCs w:val="22"/>
        </w:rPr>
        <w:t>These commonly come with conditions</w:t>
      </w:r>
      <w:r w:rsidR="00F53911" w:rsidRPr="00D02C25">
        <w:rPr>
          <w:rFonts w:ascii="Arial" w:hAnsi="Arial" w:cs="Arial"/>
          <w:color w:val="000000" w:themeColor="text1"/>
          <w:sz w:val="22"/>
          <w:szCs w:val="22"/>
        </w:rPr>
        <w:t xml:space="preserve">: </w:t>
      </w:r>
      <w:r w:rsidRPr="00D02C25">
        <w:rPr>
          <w:rFonts w:ascii="Arial" w:hAnsi="Arial" w:cs="Arial"/>
          <w:color w:val="000000" w:themeColor="text1"/>
          <w:sz w:val="22"/>
          <w:szCs w:val="22"/>
        </w:rPr>
        <w:t xml:space="preserve">new customers only, or a commitment to a rental term longer than the promo period. A promotion risks contravening the Act where </w:t>
      </w:r>
      <w:proofErr w:type="gramStart"/>
      <w:r w:rsidRPr="00D02C25">
        <w:rPr>
          <w:rFonts w:ascii="Arial" w:hAnsi="Arial" w:cs="Arial"/>
          <w:color w:val="000000" w:themeColor="text1"/>
          <w:sz w:val="22"/>
          <w:szCs w:val="22"/>
        </w:rPr>
        <w:t>it:</w:t>
      </w:r>
      <w:proofErr w:type="gramEnd"/>
      <w:r w:rsidR="00F53911" w:rsidRPr="00D02C25">
        <w:rPr>
          <w:rFonts w:ascii="Arial" w:hAnsi="Arial" w:cs="Arial"/>
          <w:color w:val="000000" w:themeColor="text1"/>
          <w:sz w:val="22"/>
          <w:szCs w:val="22"/>
        </w:rPr>
        <w:t xml:space="preserve"> </w:t>
      </w:r>
      <w:r w:rsidRPr="00D02C25">
        <w:rPr>
          <w:rFonts w:ascii="Arial" w:hAnsi="Arial" w:cs="Arial"/>
          <w:color w:val="000000" w:themeColor="text1"/>
          <w:sz w:val="22"/>
          <w:szCs w:val="22"/>
        </w:rPr>
        <w:t>excludes mandatory fees (administration, insurance, lock) that remain payable during the promotional period;</w:t>
      </w:r>
      <w:r w:rsidR="00F53911" w:rsidRPr="00D02C25">
        <w:rPr>
          <w:rFonts w:ascii="Arial" w:hAnsi="Arial" w:cs="Arial"/>
          <w:color w:val="000000" w:themeColor="text1"/>
          <w:sz w:val="22"/>
          <w:szCs w:val="22"/>
        </w:rPr>
        <w:t xml:space="preserve"> </w:t>
      </w:r>
      <w:r w:rsidRPr="00D02C25">
        <w:rPr>
          <w:rFonts w:ascii="Arial" w:hAnsi="Arial" w:cs="Arial"/>
          <w:color w:val="000000" w:themeColor="text1"/>
          <w:sz w:val="22"/>
          <w:szCs w:val="22"/>
        </w:rPr>
        <w:t xml:space="preserve">is available only to new </w:t>
      </w:r>
      <w:r w:rsidR="00F53911" w:rsidRPr="00D02C25">
        <w:rPr>
          <w:rFonts w:ascii="Arial" w:hAnsi="Arial" w:cs="Arial"/>
          <w:color w:val="000000" w:themeColor="text1"/>
          <w:sz w:val="22"/>
          <w:szCs w:val="22"/>
        </w:rPr>
        <w:t>customers yet</w:t>
      </w:r>
      <w:r w:rsidRPr="00D02C25">
        <w:rPr>
          <w:rFonts w:ascii="Arial" w:hAnsi="Arial" w:cs="Arial"/>
          <w:color w:val="000000" w:themeColor="text1"/>
          <w:sz w:val="22"/>
          <w:szCs w:val="22"/>
        </w:rPr>
        <w:t xml:space="preserve"> is shown as a firm numerical price to everyone; </w:t>
      </w:r>
      <w:r w:rsidR="00F53911" w:rsidRPr="00D02C25">
        <w:rPr>
          <w:rFonts w:ascii="Arial" w:hAnsi="Arial" w:cs="Arial"/>
          <w:color w:val="000000" w:themeColor="text1"/>
          <w:sz w:val="22"/>
          <w:szCs w:val="22"/>
        </w:rPr>
        <w:t>or applies</w:t>
      </w:r>
      <w:r w:rsidRPr="00D02C25">
        <w:rPr>
          <w:rFonts w:ascii="Arial" w:hAnsi="Arial" w:cs="Arial"/>
          <w:color w:val="000000" w:themeColor="text1"/>
          <w:sz w:val="22"/>
          <w:szCs w:val="22"/>
        </w:rPr>
        <w:t xml:space="preserve"> only if the customer commits to a minimum term longer than the promotional period, without that being reflected in the price shown.</w:t>
      </w:r>
    </w:p>
    <w:p w14:paraId="4A74C49A" w14:textId="1D7331B9" w:rsidR="005150D9" w:rsidRPr="00D02C25" w:rsidRDefault="00000000" w:rsidP="00F53911">
      <w:pPr>
        <w:pStyle w:val="Heading2"/>
        <w:numPr>
          <w:ilvl w:val="0"/>
          <w:numId w:val="6"/>
        </w:numPr>
        <w:rPr>
          <w:rFonts w:ascii="Arial" w:hAnsi="Arial" w:cs="Arial"/>
          <w:color w:val="000000" w:themeColor="text1"/>
          <w:sz w:val="22"/>
          <w:szCs w:val="22"/>
        </w:rPr>
      </w:pPr>
      <w:r w:rsidRPr="00D02C25">
        <w:rPr>
          <w:rFonts w:ascii="Arial" w:hAnsi="Arial" w:cs="Arial"/>
          <w:color w:val="000000" w:themeColor="text1"/>
          <w:sz w:val="22"/>
          <w:szCs w:val="22"/>
        </w:rPr>
        <w:t>Weekly headline price against a longer minimum term</w:t>
      </w:r>
    </w:p>
    <w:p w14:paraId="7CA7157E" w14:textId="1497DDCB" w:rsidR="005150D9" w:rsidRPr="00D02C25" w:rsidRDefault="00000000" w:rsidP="00F53911">
      <w:pPr>
        <w:pStyle w:val="ListParagraph"/>
        <w:spacing w:after="140" w:line="276" w:lineRule="auto"/>
        <w:ind w:left="720"/>
        <w:rPr>
          <w:rFonts w:ascii="Arial" w:hAnsi="Arial" w:cs="Arial"/>
          <w:color w:val="000000" w:themeColor="text1"/>
          <w:sz w:val="22"/>
          <w:szCs w:val="22"/>
        </w:rPr>
      </w:pPr>
      <w:r w:rsidRPr="00D02C25">
        <w:rPr>
          <w:rFonts w:ascii="Arial" w:hAnsi="Arial" w:cs="Arial"/>
          <w:color w:val="000000" w:themeColor="text1"/>
          <w:sz w:val="22"/>
          <w:szCs w:val="22"/>
        </w:rPr>
        <w:t xml:space="preserve">A headline rate is sometimes quoted per week when the minimum rental period is </w:t>
      </w:r>
      <w:proofErr w:type="gramStart"/>
      <w:r w:rsidRPr="00D02C25">
        <w:rPr>
          <w:rFonts w:ascii="Arial" w:hAnsi="Arial" w:cs="Arial"/>
          <w:color w:val="000000" w:themeColor="text1"/>
          <w:sz w:val="22"/>
          <w:szCs w:val="22"/>
        </w:rPr>
        <w:t>actually a</w:t>
      </w:r>
      <w:proofErr w:type="gramEnd"/>
      <w:r w:rsidRPr="00D02C25">
        <w:rPr>
          <w:rFonts w:ascii="Arial" w:hAnsi="Arial" w:cs="Arial"/>
          <w:color w:val="000000" w:themeColor="text1"/>
          <w:sz w:val="22"/>
          <w:szCs w:val="22"/>
        </w:rPr>
        <w:t xml:space="preserve"> month or four weeks</w:t>
      </w:r>
      <w:r w:rsidR="00D02C25">
        <w:rPr>
          <w:rFonts w:ascii="Arial" w:hAnsi="Arial" w:cs="Arial"/>
          <w:color w:val="000000" w:themeColor="text1"/>
          <w:sz w:val="22"/>
          <w:szCs w:val="22"/>
        </w:rPr>
        <w:t>, or billing is monthly,</w:t>
      </w:r>
      <w:r w:rsidR="00121667" w:rsidRPr="00D02C25">
        <w:rPr>
          <w:rFonts w:ascii="Arial" w:hAnsi="Arial" w:cs="Arial"/>
          <w:color w:val="000000" w:themeColor="text1"/>
          <w:sz w:val="22"/>
          <w:szCs w:val="22"/>
        </w:rPr>
        <w:t xml:space="preserve"> </w:t>
      </w:r>
      <w:r w:rsidRPr="00D02C25">
        <w:rPr>
          <w:rFonts w:ascii="Arial" w:hAnsi="Arial" w:cs="Arial"/>
          <w:color w:val="000000" w:themeColor="text1"/>
          <w:sz w:val="22"/>
          <w:szCs w:val="22"/>
        </w:rPr>
        <w:t>and it is unclear whether a customer can end the rental partway through a billing period. A customer can never actually rent at the “per week” number, which makes it unattainable in the sense the law cares about.</w:t>
      </w:r>
    </w:p>
    <w:p w14:paraId="30F082E7" w14:textId="155A3B3D" w:rsidR="005150D9" w:rsidRPr="00D02C25" w:rsidRDefault="00000000" w:rsidP="00F53911">
      <w:pPr>
        <w:pStyle w:val="Heading2"/>
        <w:numPr>
          <w:ilvl w:val="0"/>
          <w:numId w:val="6"/>
        </w:numPr>
        <w:rPr>
          <w:rFonts w:ascii="Arial" w:hAnsi="Arial" w:cs="Arial"/>
          <w:color w:val="000000" w:themeColor="text1"/>
          <w:sz w:val="22"/>
          <w:szCs w:val="22"/>
        </w:rPr>
      </w:pPr>
      <w:r w:rsidRPr="00D02C25">
        <w:rPr>
          <w:rFonts w:ascii="Arial" w:hAnsi="Arial" w:cs="Arial"/>
          <w:color w:val="000000" w:themeColor="text1"/>
          <w:sz w:val="22"/>
          <w:szCs w:val="22"/>
        </w:rPr>
        <w:t>Total price shown with too little prominence</w:t>
      </w:r>
    </w:p>
    <w:p w14:paraId="15DAA2C6" w14:textId="28727617" w:rsidR="005150D9" w:rsidRPr="00D02C25" w:rsidRDefault="00000000" w:rsidP="00F53911">
      <w:pPr>
        <w:pStyle w:val="ListParagraph"/>
        <w:spacing w:after="140" w:line="276" w:lineRule="auto"/>
        <w:ind w:left="720"/>
        <w:rPr>
          <w:rFonts w:ascii="Arial" w:hAnsi="Arial" w:cs="Arial"/>
          <w:color w:val="000000" w:themeColor="text1"/>
          <w:sz w:val="22"/>
          <w:szCs w:val="22"/>
        </w:rPr>
      </w:pPr>
      <w:r w:rsidRPr="00D02C25">
        <w:rPr>
          <w:rFonts w:ascii="Arial" w:hAnsi="Arial" w:cs="Arial"/>
          <w:color w:val="000000" w:themeColor="text1"/>
          <w:sz w:val="22"/>
          <w:szCs w:val="22"/>
        </w:rPr>
        <w:t>Even when the total is genuinely all-in, it is sometimes displayed less prominently than its components or a related “from” rate. In several provinces with a prominence rule</w:t>
      </w:r>
      <w:r w:rsidR="00F53911" w:rsidRPr="00D02C25">
        <w:rPr>
          <w:rFonts w:ascii="Arial" w:hAnsi="Arial" w:cs="Arial"/>
          <w:color w:val="000000" w:themeColor="text1"/>
          <w:sz w:val="22"/>
          <w:szCs w:val="22"/>
        </w:rPr>
        <w:t>,</w:t>
      </w:r>
      <w:r w:rsidRPr="00D02C25">
        <w:rPr>
          <w:rFonts w:ascii="Arial" w:hAnsi="Arial" w:cs="Arial"/>
          <w:color w:val="000000" w:themeColor="text1"/>
          <w:sz w:val="22"/>
          <w:szCs w:val="22"/>
        </w:rPr>
        <w:t xml:space="preserve"> </w:t>
      </w:r>
      <w:r w:rsidR="00D36A38" w:rsidRPr="00D02C25">
        <w:rPr>
          <w:rFonts w:ascii="Arial" w:hAnsi="Arial" w:cs="Arial"/>
          <w:color w:val="000000" w:themeColor="text1"/>
          <w:sz w:val="22"/>
          <w:szCs w:val="22"/>
        </w:rPr>
        <w:t xml:space="preserve">this </w:t>
      </w:r>
      <w:r w:rsidRPr="00D02C25">
        <w:rPr>
          <w:rFonts w:ascii="Arial" w:hAnsi="Arial" w:cs="Arial"/>
          <w:color w:val="000000" w:themeColor="text1"/>
          <w:sz w:val="22"/>
          <w:szCs w:val="22"/>
        </w:rPr>
        <w:t>alone is a problem.</w:t>
      </w:r>
    </w:p>
    <w:p w14:paraId="50D45432" w14:textId="4082A79F" w:rsidR="005150D9" w:rsidRPr="00D02C25" w:rsidRDefault="00D02C25">
      <w:pPr>
        <w:pStyle w:val="Heading1"/>
        <w:rPr>
          <w:rFonts w:ascii="Arial" w:hAnsi="Arial" w:cs="Arial"/>
          <w:color w:val="000000" w:themeColor="text1"/>
          <w:sz w:val="22"/>
          <w:szCs w:val="22"/>
        </w:rPr>
      </w:pPr>
      <w:r>
        <w:rPr>
          <w:rFonts w:ascii="Arial" w:hAnsi="Arial" w:cs="Arial"/>
          <w:color w:val="000000" w:themeColor="text1"/>
          <w:sz w:val="22"/>
          <w:szCs w:val="22"/>
        </w:rPr>
        <w:t>6</w:t>
      </w:r>
      <w:r w:rsidRPr="00D02C25">
        <w:rPr>
          <w:rFonts w:ascii="Arial" w:hAnsi="Arial" w:cs="Arial"/>
          <w:color w:val="000000" w:themeColor="text1"/>
          <w:sz w:val="22"/>
          <w:szCs w:val="22"/>
        </w:rPr>
        <w:t>. RECOMMENDED NEXT STEPS FOR MEMBERS</w:t>
      </w:r>
    </w:p>
    <w:p w14:paraId="7CAEF0AE" w14:textId="77777777" w:rsidR="005150D9" w:rsidRPr="00D02C25" w:rsidRDefault="00000000">
      <w:pPr>
        <w:pStyle w:val="ListParagraph"/>
        <w:numPr>
          <w:ilvl w:val="0"/>
          <w:numId w:val="4"/>
        </w:numPr>
        <w:spacing w:after="9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Audit your public pricing. </w:t>
      </w:r>
      <w:r w:rsidRPr="00D02C25">
        <w:rPr>
          <w:rFonts w:ascii="Arial" w:hAnsi="Arial" w:cs="Arial"/>
          <w:color w:val="000000" w:themeColor="text1"/>
          <w:sz w:val="22"/>
          <w:szCs w:val="22"/>
        </w:rPr>
        <w:t>Have marketing and operations map every fee a customer pays from search to signed rental, and flag any mandatory, non-governmental fee that is not in the headline.</w:t>
      </w:r>
    </w:p>
    <w:p w14:paraId="5E544057" w14:textId="77777777" w:rsidR="005150D9" w:rsidRPr="00D02C25" w:rsidRDefault="00000000">
      <w:pPr>
        <w:pStyle w:val="ListParagraph"/>
        <w:numPr>
          <w:ilvl w:val="0"/>
          <w:numId w:val="4"/>
        </w:numPr>
        <w:spacing w:after="9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Re-baseline your headline. </w:t>
      </w:r>
      <w:r w:rsidRPr="00D02C25">
        <w:rPr>
          <w:rFonts w:ascii="Arial" w:hAnsi="Arial" w:cs="Arial"/>
          <w:color w:val="000000" w:themeColor="text1"/>
          <w:sz w:val="22"/>
          <w:szCs w:val="22"/>
        </w:rPr>
        <w:t>Rebuild displayed prices as all-in totals for the minimum rental period. Move genuinely optional add-ons to a clearly separate, opt-in step.</w:t>
      </w:r>
    </w:p>
    <w:p w14:paraId="613530A1" w14:textId="1C0F01E2" w:rsidR="005150D9" w:rsidRPr="00D02C25" w:rsidRDefault="00000000">
      <w:pPr>
        <w:pStyle w:val="ListParagraph"/>
        <w:numPr>
          <w:ilvl w:val="0"/>
          <w:numId w:val="4"/>
        </w:numPr>
        <w:spacing w:after="9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Fix promotions and prominence. </w:t>
      </w:r>
      <w:r w:rsidRPr="00D02C25">
        <w:rPr>
          <w:rFonts w:ascii="Arial" w:hAnsi="Arial" w:cs="Arial"/>
          <w:color w:val="000000" w:themeColor="text1"/>
          <w:sz w:val="22"/>
          <w:szCs w:val="22"/>
        </w:rPr>
        <w:t>Rework promotional displays and adjust page design so totals dominate components.</w:t>
      </w:r>
    </w:p>
    <w:p w14:paraId="50978753" w14:textId="53F93AA8" w:rsidR="005150D9" w:rsidRPr="00D02C25" w:rsidRDefault="00000000">
      <w:pPr>
        <w:pStyle w:val="ListParagraph"/>
        <w:numPr>
          <w:ilvl w:val="0"/>
          <w:numId w:val="4"/>
        </w:numPr>
        <w:spacing w:after="9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Get a tailored legal opinion. </w:t>
      </w:r>
      <w:r w:rsidRPr="00D02C25">
        <w:rPr>
          <w:rFonts w:ascii="Arial" w:hAnsi="Arial" w:cs="Arial"/>
          <w:color w:val="000000" w:themeColor="text1"/>
          <w:sz w:val="22"/>
          <w:szCs w:val="22"/>
        </w:rPr>
        <w:t>Have counsel review your specific flow</w:t>
      </w:r>
      <w:r w:rsidR="00D02C25">
        <w:rPr>
          <w:rFonts w:ascii="Arial" w:hAnsi="Arial" w:cs="Arial"/>
          <w:color w:val="000000" w:themeColor="text1"/>
          <w:sz w:val="22"/>
          <w:szCs w:val="22"/>
        </w:rPr>
        <w:t xml:space="preserve">, </w:t>
      </w:r>
      <w:r w:rsidRPr="00D02C25">
        <w:rPr>
          <w:rFonts w:ascii="Arial" w:hAnsi="Arial" w:cs="Arial"/>
          <w:color w:val="000000" w:themeColor="text1"/>
          <w:sz w:val="22"/>
          <w:szCs w:val="22"/>
        </w:rPr>
        <w:t>particularly insurance opt-out mechanics and any weekly-rate displays before finalizing changes.</w:t>
      </w:r>
    </w:p>
    <w:p w14:paraId="602F5823" w14:textId="77777777" w:rsidR="005150D9" w:rsidRPr="00D02C25" w:rsidRDefault="00000000">
      <w:pPr>
        <w:pStyle w:val="ListParagraph"/>
        <w:numPr>
          <w:ilvl w:val="0"/>
          <w:numId w:val="4"/>
        </w:numPr>
        <w:spacing w:after="9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Document your compliance. </w:t>
      </w:r>
      <w:r w:rsidRPr="00D02C25">
        <w:rPr>
          <w:rFonts w:ascii="Arial" w:hAnsi="Arial" w:cs="Arial"/>
          <w:color w:val="000000" w:themeColor="text1"/>
          <w:sz w:val="22"/>
          <w:szCs w:val="22"/>
        </w:rPr>
        <w:t>Keep a record of the review and the rationale for how each fee is treated; it supports a good-faith posture if questions arise.</w:t>
      </w:r>
    </w:p>
    <w:p w14:paraId="13552084" w14:textId="77777777" w:rsidR="005150D9" w:rsidRPr="00D02C25" w:rsidRDefault="00000000">
      <w:pPr>
        <w:pStyle w:val="ListParagraph"/>
        <w:numPr>
          <w:ilvl w:val="0"/>
          <w:numId w:val="4"/>
        </w:numPr>
        <w:spacing w:after="90" w:line="272" w:lineRule="auto"/>
        <w:rPr>
          <w:rFonts w:ascii="Arial" w:hAnsi="Arial" w:cs="Arial"/>
          <w:color w:val="000000" w:themeColor="text1"/>
          <w:sz w:val="22"/>
          <w:szCs w:val="22"/>
        </w:rPr>
      </w:pPr>
      <w:r w:rsidRPr="00D02C25">
        <w:rPr>
          <w:rFonts w:ascii="Arial" w:hAnsi="Arial" w:cs="Arial"/>
          <w:b/>
          <w:bCs/>
          <w:color w:val="000000" w:themeColor="text1"/>
          <w:sz w:val="22"/>
          <w:szCs w:val="22"/>
        </w:rPr>
        <w:t xml:space="preserve">Monitor developments. </w:t>
      </w:r>
      <w:r w:rsidRPr="00D02C25">
        <w:rPr>
          <w:rFonts w:ascii="Arial" w:hAnsi="Arial" w:cs="Arial"/>
          <w:color w:val="000000" w:themeColor="text1"/>
          <w:sz w:val="22"/>
          <w:szCs w:val="22"/>
        </w:rPr>
        <w:t>Several cases are still moving through the courts (including the Expedia appeal and the Wonderland and DoorDash proceedings). The CSSA will keep members updated as the law settles.</w:t>
      </w:r>
    </w:p>
    <w:p w14:paraId="2D76F8E2" w14:textId="77777777" w:rsidR="00D36A38" w:rsidRPr="00D02C25" w:rsidRDefault="00D36A38">
      <w:pPr>
        <w:spacing w:before="80"/>
        <w:rPr>
          <w:rFonts w:ascii="Arial" w:hAnsi="Arial" w:cs="Arial"/>
          <w:b/>
          <w:bCs/>
          <w:color w:val="000000" w:themeColor="text1"/>
          <w:sz w:val="18"/>
          <w:szCs w:val="18"/>
        </w:rPr>
      </w:pPr>
    </w:p>
    <w:p w14:paraId="29113BAD" w14:textId="1E9DF970" w:rsidR="005150D9" w:rsidRPr="00D02C25" w:rsidRDefault="00000000">
      <w:pPr>
        <w:spacing w:before="80"/>
        <w:rPr>
          <w:rFonts w:ascii="Arial" w:hAnsi="Arial" w:cs="Arial"/>
          <w:color w:val="000000" w:themeColor="text1"/>
          <w:sz w:val="18"/>
          <w:szCs w:val="18"/>
        </w:rPr>
      </w:pPr>
      <w:r w:rsidRPr="00D02C25">
        <w:rPr>
          <w:rFonts w:ascii="Arial" w:hAnsi="Arial" w:cs="Arial"/>
          <w:b/>
          <w:bCs/>
          <w:color w:val="000000" w:themeColor="text1"/>
          <w:sz w:val="18"/>
          <w:szCs w:val="18"/>
        </w:rPr>
        <w:t xml:space="preserve">Source and acknowledgement. </w:t>
      </w:r>
      <w:r w:rsidRPr="00D02C25">
        <w:rPr>
          <w:rFonts w:ascii="Arial" w:hAnsi="Arial" w:cs="Arial"/>
          <w:i/>
          <w:iCs/>
          <w:color w:val="000000" w:themeColor="text1"/>
          <w:sz w:val="18"/>
          <w:szCs w:val="18"/>
        </w:rPr>
        <w:t xml:space="preserve">This white paper is derived from a legal memorandum prepared for the CSSA by Osler, Hoskin &amp; Harcourt LLP (“Drip Pricing in Canada: Legal Framework and Compliance Risks,” January 2026). It restates and summarizes that analysis for member education. It is not </w:t>
      </w:r>
      <w:r w:rsidR="00121667" w:rsidRPr="00D02C25">
        <w:rPr>
          <w:rFonts w:ascii="Arial" w:hAnsi="Arial" w:cs="Arial"/>
          <w:i/>
          <w:iCs/>
          <w:color w:val="000000" w:themeColor="text1"/>
          <w:sz w:val="18"/>
          <w:szCs w:val="18"/>
        </w:rPr>
        <w:t xml:space="preserve">legal advice; members should seek advice tailored to their </w:t>
      </w:r>
      <w:r w:rsidRPr="00D02C25">
        <w:rPr>
          <w:rFonts w:ascii="Arial" w:hAnsi="Arial" w:cs="Arial"/>
          <w:i/>
          <w:iCs/>
          <w:color w:val="000000" w:themeColor="text1"/>
          <w:sz w:val="18"/>
          <w:szCs w:val="18"/>
        </w:rPr>
        <w:t>circumstances before acting.</w:t>
      </w:r>
    </w:p>
    <w:sectPr w:rsidR="005150D9" w:rsidRPr="00D02C25">
      <w:headerReference w:type="default" r:id="rId7"/>
      <w:footerReference w:type="default" r:id="rId8"/>
      <w:pgSz w:w="12240" w:h="15840"/>
      <w:pgMar w:top="1200" w:right="1440" w:bottom="12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1E38A" w14:textId="77777777" w:rsidR="0086529C" w:rsidRDefault="0086529C">
      <w:r>
        <w:separator/>
      </w:r>
    </w:p>
  </w:endnote>
  <w:endnote w:type="continuationSeparator" w:id="0">
    <w:p w14:paraId="2A8AECD8" w14:textId="77777777" w:rsidR="0086529C" w:rsidRDefault="00865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E21D4" w14:textId="77777777" w:rsidR="005150D9" w:rsidRDefault="00000000">
    <w:pPr>
      <w:pBdr>
        <w:top w:val="single" w:sz="4" w:space="0" w:color="9FB3C8"/>
      </w:pBdr>
      <w:jc w:val="center"/>
    </w:pPr>
    <w:r>
      <w:rPr>
        <w:color w:val="5A6B7B"/>
        <w:sz w:val="15"/>
        <w:szCs w:val="15"/>
      </w:rPr>
      <w:t xml:space="preserve">Canadian Self Storage Association   —   Not legal advice; obtain advice tailored to your circumstances   —   Page </w:t>
    </w:r>
    <w:r>
      <w:rPr>
        <w:color w:val="5A6B7B"/>
        <w:sz w:val="15"/>
        <w:szCs w:val="15"/>
      </w:rPr>
      <w:fldChar w:fldCharType="begin"/>
    </w:r>
    <w:r>
      <w:rPr>
        <w:color w:val="5A6B7B"/>
        <w:sz w:val="15"/>
        <w:szCs w:val="15"/>
      </w:rPr>
      <w:instrText>PAGE</w:instrText>
    </w:r>
    <w:r>
      <w:rPr>
        <w:color w:val="5A6B7B"/>
        <w:sz w:val="15"/>
        <w:szCs w:val="15"/>
      </w:rPr>
      <w:fldChar w:fldCharType="separate"/>
    </w:r>
    <w:r w:rsidR="00121667">
      <w:rPr>
        <w:noProof/>
        <w:color w:val="5A6B7B"/>
        <w:sz w:val="15"/>
        <w:szCs w:val="15"/>
      </w:rPr>
      <w:t>1</w:t>
    </w:r>
    <w:r>
      <w:rPr>
        <w:color w:val="5A6B7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52403" w14:textId="77777777" w:rsidR="0086529C" w:rsidRDefault="0086529C">
      <w:r>
        <w:separator/>
      </w:r>
    </w:p>
  </w:footnote>
  <w:footnote w:type="continuationSeparator" w:id="0">
    <w:p w14:paraId="129AED65" w14:textId="77777777" w:rsidR="0086529C" w:rsidRDefault="008652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E348F" w14:textId="5FBDDE7E" w:rsidR="005150D9" w:rsidRDefault="00000000">
    <w:pPr>
      <w:pBdr>
        <w:bottom w:val="single" w:sz="4" w:space="0" w:color="9FB3C8"/>
      </w:pBdr>
      <w:jc w:val="right"/>
    </w:pPr>
    <w:r>
      <w:rPr>
        <w:color w:val="5A6B7B"/>
        <w:sz w:val="15"/>
        <w:szCs w:val="15"/>
      </w:rPr>
      <w:t xml:space="preserve">CSSA Member </w:t>
    </w:r>
    <w:r w:rsidR="00D02C25">
      <w:rPr>
        <w:color w:val="5A6B7B"/>
        <w:sz w:val="15"/>
        <w:szCs w:val="15"/>
      </w:rPr>
      <w:t xml:space="preserve">Guidance </w:t>
    </w:r>
    <w:proofErr w:type="gramStart"/>
    <w:r w:rsidR="00D02C25">
      <w:rPr>
        <w:color w:val="5A6B7B"/>
        <w:sz w:val="15"/>
        <w:szCs w:val="15"/>
      </w:rPr>
      <w:t>•</w:t>
    </w:r>
    <w:r>
      <w:rPr>
        <w:color w:val="5A6B7B"/>
        <w:sz w:val="15"/>
        <w:szCs w:val="15"/>
      </w:rPr>
      <w:t xml:space="preserve">  Drip</w:t>
    </w:r>
    <w:proofErr w:type="gramEnd"/>
    <w:r>
      <w:rPr>
        <w:color w:val="5A6B7B"/>
        <w:sz w:val="15"/>
        <w:szCs w:val="15"/>
      </w:rPr>
      <w:t xml:space="preserve"> Pricing and Price Disclosure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E79"/>
    <w:multiLevelType w:val="hybridMultilevel"/>
    <w:tmpl w:val="169841E4"/>
    <w:lvl w:ilvl="0" w:tplc="2CB219D8">
      <w:start w:val="1"/>
      <w:numFmt w:val="bullet"/>
      <w:lvlText w:val="●"/>
      <w:lvlJc w:val="left"/>
      <w:pPr>
        <w:ind w:left="720" w:hanging="360"/>
      </w:pPr>
    </w:lvl>
    <w:lvl w:ilvl="1" w:tplc="E140EAE8">
      <w:start w:val="1"/>
      <w:numFmt w:val="bullet"/>
      <w:lvlText w:val="○"/>
      <w:lvlJc w:val="left"/>
      <w:pPr>
        <w:ind w:left="1440" w:hanging="360"/>
      </w:pPr>
    </w:lvl>
    <w:lvl w:ilvl="2" w:tplc="5DFA99BC">
      <w:start w:val="1"/>
      <w:numFmt w:val="bullet"/>
      <w:lvlText w:val="■"/>
      <w:lvlJc w:val="left"/>
      <w:pPr>
        <w:ind w:left="2160" w:hanging="360"/>
      </w:pPr>
    </w:lvl>
    <w:lvl w:ilvl="3" w:tplc="517681DC">
      <w:start w:val="1"/>
      <w:numFmt w:val="bullet"/>
      <w:lvlText w:val="●"/>
      <w:lvlJc w:val="left"/>
      <w:pPr>
        <w:ind w:left="2880" w:hanging="360"/>
      </w:pPr>
    </w:lvl>
    <w:lvl w:ilvl="4" w:tplc="4F0840F6">
      <w:start w:val="1"/>
      <w:numFmt w:val="bullet"/>
      <w:lvlText w:val="○"/>
      <w:lvlJc w:val="left"/>
      <w:pPr>
        <w:ind w:left="3600" w:hanging="360"/>
      </w:pPr>
    </w:lvl>
    <w:lvl w:ilvl="5" w:tplc="6FA69160">
      <w:start w:val="1"/>
      <w:numFmt w:val="bullet"/>
      <w:lvlText w:val="■"/>
      <w:lvlJc w:val="left"/>
      <w:pPr>
        <w:ind w:left="4320" w:hanging="360"/>
      </w:pPr>
    </w:lvl>
    <w:lvl w:ilvl="6" w:tplc="A002D458">
      <w:start w:val="1"/>
      <w:numFmt w:val="bullet"/>
      <w:lvlText w:val="●"/>
      <w:lvlJc w:val="left"/>
      <w:pPr>
        <w:ind w:left="5040" w:hanging="360"/>
      </w:pPr>
    </w:lvl>
    <w:lvl w:ilvl="7" w:tplc="B7142524">
      <w:start w:val="1"/>
      <w:numFmt w:val="bullet"/>
      <w:lvlText w:val="●"/>
      <w:lvlJc w:val="left"/>
      <w:pPr>
        <w:ind w:left="5760" w:hanging="360"/>
      </w:pPr>
    </w:lvl>
    <w:lvl w:ilvl="8" w:tplc="30A0F3EA">
      <w:start w:val="1"/>
      <w:numFmt w:val="bullet"/>
      <w:lvlText w:val="●"/>
      <w:lvlJc w:val="left"/>
      <w:pPr>
        <w:ind w:left="6480" w:hanging="360"/>
      </w:pPr>
    </w:lvl>
  </w:abstractNum>
  <w:abstractNum w:abstractNumId="1" w15:restartNumberingAfterBreak="0">
    <w:nsid w:val="1965760F"/>
    <w:multiLevelType w:val="hybridMultilevel"/>
    <w:tmpl w:val="DDCA4646"/>
    <w:lvl w:ilvl="0" w:tplc="74A429C6">
      <w:start w:val="1"/>
      <w:numFmt w:val="decimal"/>
      <w:lvlText w:val="%1."/>
      <w:lvlJc w:val="left"/>
      <w:pPr>
        <w:ind w:left="380" w:hanging="260"/>
      </w:pPr>
      <w:rPr>
        <w:b/>
        <w:bCs/>
        <w:color w:val="1F3A5F"/>
      </w:rPr>
    </w:lvl>
    <w:lvl w:ilvl="1" w:tplc="F6CED736">
      <w:numFmt w:val="decimal"/>
      <w:lvlText w:val=""/>
      <w:lvlJc w:val="left"/>
    </w:lvl>
    <w:lvl w:ilvl="2" w:tplc="C09CBF2A">
      <w:numFmt w:val="decimal"/>
      <w:lvlText w:val=""/>
      <w:lvlJc w:val="left"/>
    </w:lvl>
    <w:lvl w:ilvl="3" w:tplc="2312E8B8">
      <w:numFmt w:val="decimal"/>
      <w:lvlText w:val=""/>
      <w:lvlJc w:val="left"/>
    </w:lvl>
    <w:lvl w:ilvl="4" w:tplc="8646C270">
      <w:numFmt w:val="decimal"/>
      <w:lvlText w:val=""/>
      <w:lvlJc w:val="left"/>
    </w:lvl>
    <w:lvl w:ilvl="5" w:tplc="DD4C378E">
      <w:numFmt w:val="decimal"/>
      <w:lvlText w:val=""/>
      <w:lvlJc w:val="left"/>
    </w:lvl>
    <w:lvl w:ilvl="6" w:tplc="97541050">
      <w:numFmt w:val="decimal"/>
      <w:lvlText w:val=""/>
      <w:lvlJc w:val="left"/>
    </w:lvl>
    <w:lvl w:ilvl="7" w:tplc="0EFC1BD2">
      <w:numFmt w:val="decimal"/>
      <w:lvlText w:val=""/>
      <w:lvlJc w:val="left"/>
    </w:lvl>
    <w:lvl w:ilvl="8" w:tplc="C30C51EA">
      <w:numFmt w:val="decimal"/>
      <w:lvlText w:val=""/>
      <w:lvlJc w:val="left"/>
    </w:lvl>
  </w:abstractNum>
  <w:abstractNum w:abstractNumId="2" w15:restartNumberingAfterBreak="0">
    <w:nsid w:val="1BCD36A9"/>
    <w:multiLevelType w:val="hybridMultilevel"/>
    <w:tmpl w:val="58A2D886"/>
    <w:lvl w:ilvl="0" w:tplc="4746DA5C">
      <w:start w:val="1"/>
      <w:numFmt w:val="decimal"/>
      <w:lvlText w:val="%1."/>
      <w:lvlJc w:val="left"/>
      <w:pPr>
        <w:ind w:left="380" w:hanging="260"/>
      </w:pPr>
      <w:rPr>
        <w:b/>
        <w:bCs/>
        <w:color w:val="1F3A5F"/>
      </w:rPr>
    </w:lvl>
    <w:lvl w:ilvl="1" w:tplc="7604E506">
      <w:numFmt w:val="decimal"/>
      <w:lvlText w:val=""/>
      <w:lvlJc w:val="left"/>
    </w:lvl>
    <w:lvl w:ilvl="2" w:tplc="A88A5EC8">
      <w:numFmt w:val="decimal"/>
      <w:lvlText w:val=""/>
      <w:lvlJc w:val="left"/>
    </w:lvl>
    <w:lvl w:ilvl="3" w:tplc="92ECD150">
      <w:numFmt w:val="decimal"/>
      <w:lvlText w:val=""/>
      <w:lvlJc w:val="left"/>
    </w:lvl>
    <w:lvl w:ilvl="4" w:tplc="86948314">
      <w:numFmt w:val="decimal"/>
      <w:lvlText w:val=""/>
      <w:lvlJc w:val="left"/>
    </w:lvl>
    <w:lvl w:ilvl="5" w:tplc="355A0EE2">
      <w:numFmt w:val="decimal"/>
      <w:lvlText w:val=""/>
      <w:lvlJc w:val="left"/>
    </w:lvl>
    <w:lvl w:ilvl="6" w:tplc="39D03BF0">
      <w:numFmt w:val="decimal"/>
      <w:lvlText w:val=""/>
      <w:lvlJc w:val="left"/>
    </w:lvl>
    <w:lvl w:ilvl="7" w:tplc="F17EEF78">
      <w:numFmt w:val="decimal"/>
      <w:lvlText w:val=""/>
      <w:lvlJc w:val="left"/>
    </w:lvl>
    <w:lvl w:ilvl="8" w:tplc="92FC6BE6">
      <w:numFmt w:val="decimal"/>
      <w:lvlText w:val=""/>
      <w:lvlJc w:val="left"/>
    </w:lvl>
  </w:abstractNum>
  <w:abstractNum w:abstractNumId="3" w15:restartNumberingAfterBreak="0">
    <w:nsid w:val="43EF67A0"/>
    <w:multiLevelType w:val="hybridMultilevel"/>
    <w:tmpl w:val="8EC80448"/>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4C18689B"/>
    <w:multiLevelType w:val="hybridMultilevel"/>
    <w:tmpl w:val="97CA913E"/>
    <w:lvl w:ilvl="0" w:tplc="67D6FD10">
      <w:start w:val="1"/>
      <w:numFmt w:val="bullet"/>
      <w:lvlText w:val="•"/>
      <w:lvlJc w:val="left"/>
      <w:pPr>
        <w:ind w:left="360" w:hanging="220"/>
      </w:pPr>
      <w:rPr>
        <w:color w:val="34618C"/>
      </w:rPr>
    </w:lvl>
    <w:lvl w:ilvl="1" w:tplc="FBFA56F8">
      <w:start w:val="1"/>
      <w:numFmt w:val="bullet"/>
      <w:lvlText w:val="–"/>
      <w:lvlJc w:val="left"/>
      <w:pPr>
        <w:ind w:left="720" w:hanging="220"/>
      </w:pPr>
    </w:lvl>
    <w:lvl w:ilvl="2" w:tplc="BEE882E0">
      <w:numFmt w:val="decimal"/>
      <w:lvlText w:val=""/>
      <w:lvlJc w:val="left"/>
    </w:lvl>
    <w:lvl w:ilvl="3" w:tplc="3606E118">
      <w:numFmt w:val="decimal"/>
      <w:lvlText w:val=""/>
      <w:lvlJc w:val="left"/>
    </w:lvl>
    <w:lvl w:ilvl="4" w:tplc="E782E3B6">
      <w:numFmt w:val="decimal"/>
      <w:lvlText w:val=""/>
      <w:lvlJc w:val="left"/>
    </w:lvl>
    <w:lvl w:ilvl="5" w:tplc="3E1E4EDE">
      <w:numFmt w:val="decimal"/>
      <w:lvlText w:val=""/>
      <w:lvlJc w:val="left"/>
    </w:lvl>
    <w:lvl w:ilvl="6" w:tplc="3468F610">
      <w:numFmt w:val="decimal"/>
      <w:lvlText w:val=""/>
      <w:lvlJc w:val="left"/>
    </w:lvl>
    <w:lvl w:ilvl="7" w:tplc="75A4816C">
      <w:numFmt w:val="decimal"/>
      <w:lvlText w:val=""/>
      <w:lvlJc w:val="left"/>
    </w:lvl>
    <w:lvl w:ilvl="8" w:tplc="88D84790">
      <w:numFmt w:val="decimal"/>
      <w:lvlText w:val=""/>
      <w:lvlJc w:val="left"/>
    </w:lvl>
  </w:abstractNum>
  <w:abstractNum w:abstractNumId="5" w15:restartNumberingAfterBreak="0">
    <w:nsid w:val="4F413512"/>
    <w:multiLevelType w:val="hybridMultilevel"/>
    <w:tmpl w:val="EF88CA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DD69D6"/>
    <w:multiLevelType w:val="hybridMultilevel"/>
    <w:tmpl w:val="C870F982"/>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75D82416"/>
    <w:multiLevelType w:val="hybridMultilevel"/>
    <w:tmpl w:val="4AFABF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55836410">
    <w:abstractNumId w:val="0"/>
    <w:lvlOverride w:ilvl="0">
      <w:startOverride w:val="1"/>
    </w:lvlOverride>
  </w:num>
  <w:num w:numId="2" w16cid:durableId="212666212">
    <w:abstractNumId w:val="4"/>
    <w:lvlOverride w:ilvl="0">
      <w:startOverride w:val="1"/>
    </w:lvlOverride>
  </w:num>
  <w:num w:numId="3" w16cid:durableId="1396313120">
    <w:abstractNumId w:val="1"/>
    <w:lvlOverride w:ilvl="0">
      <w:startOverride w:val="1"/>
    </w:lvlOverride>
  </w:num>
  <w:num w:numId="4" w16cid:durableId="284822307">
    <w:abstractNumId w:val="2"/>
    <w:lvlOverride w:ilvl="0">
      <w:startOverride w:val="1"/>
    </w:lvlOverride>
  </w:num>
  <w:num w:numId="5" w16cid:durableId="827329649">
    <w:abstractNumId w:val="7"/>
  </w:num>
  <w:num w:numId="6" w16cid:durableId="174922239">
    <w:abstractNumId w:val="5"/>
  </w:num>
  <w:num w:numId="7" w16cid:durableId="815561437">
    <w:abstractNumId w:val="3"/>
  </w:num>
  <w:num w:numId="8" w16cid:durableId="538928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0D9"/>
    <w:rsid w:val="00121667"/>
    <w:rsid w:val="005150D9"/>
    <w:rsid w:val="00775021"/>
    <w:rsid w:val="0086529C"/>
    <w:rsid w:val="00A50611"/>
    <w:rsid w:val="00D02C25"/>
    <w:rsid w:val="00D36A38"/>
    <w:rsid w:val="00F53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25EBB"/>
  <w15:docId w15:val="{0F93B3C8-6FBD-4F4A-B3D7-515E19C81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40"/>
      <w:outlineLvl w:val="0"/>
    </w:pPr>
    <w:rPr>
      <w:rFonts w:ascii="Georgia" w:eastAsia="Georgia" w:hAnsi="Georgia" w:cs="Georgia"/>
      <w:b/>
      <w:bCs/>
      <w:color w:val="1F3A5F"/>
      <w:sz w:val="30"/>
      <w:szCs w:val="30"/>
    </w:rPr>
  </w:style>
  <w:style w:type="paragraph" w:styleId="Heading2">
    <w:name w:val="heading 2"/>
    <w:uiPriority w:val="9"/>
    <w:unhideWhenUsed/>
    <w:qFormat/>
    <w:pPr>
      <w:spacing w:before="240" w:after="90"/>
      <w:outlineLvl w:val="1"/>
    </w:pPr>
    <w:rPr>
      <w:b/>
      <w:bCs/>
      <w:color w:val="34618C"/>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Spacing">
    <w:name w:val="No Spacing"/>
    <w:uiPriority w:val="1"/>
    <w:qFormat/>
    <w:rsid w:val="00121667"/>
  </w:style>
  <w:style w:type="paragraph" w:styleId="Header">
    <w:name w:val="header"/>
    <w:basedOn w:val="Normal"/>
    <w:link w:val="HeaderChar"/>
    <w:uiPriority w:val="99"/>
    <w:unhideWhenUsed/>
    <w:rsid w:val="00F53911"/>
    <w:pPr>
      <w:tabs>
        <w:tab w:val="center" w:pos="4680"/>
        <w:tab w:val="right" w:pos="9360"/>
      </w:tabs>
    </w:pPr>
  </w:style>
  <w:style w:type="character" w:customStyle="1" w:styleId="HeaderChar">
    <w:name w:val="Header Char"/>
    <w:basedOn w:val="DefaultParagraphFont"/>
    <w:link w:val="Header"/>
    <w:uiPriority w:val="99"/>
    <w:rsid w:val="00F53911"/>
  </w:style>
  <w:style w:type="paragraph" w:styleId="Footer">
    <w:name w:val="footer"/>
    <w:basedOn w:val="Normal"/>
    <w:link w:val="FooterChar"/>
    <w:uiPriority w:val="99"/>
    <w:unhideWhenUsed/>
    <w:rsid w:val="00F53911"/>
    <w:pPr>
      <w:tabs>
        <w:tab w:val="center" w:pos="4680"/>
        <w:tab w:val="right" w:pos="9360"/>
      </w:tabs>
    </w:pPr>
  </w:style>
  <w:style w:type="character" w:customStyle="1" w:styleId="FooterChar">
    <w:name w:val="Footer Char"/>
    <w:basedOn w:val="DefaultParagraphFont"/>
    <w:link w:val="Footer"/>
    <w:uiPriority w:val="99"/>
    <w:rsid w:val="00F53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6</Pages>
  <Words>2353</Words>
  <Characters>13414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Drip Pricing and Price Disclosure in Canada — CSSA Member Guidance</vt:lpstr>
    </vt:vector>
  </TitlesOfParts>
  <Company/>
  <LinksUpToDate>false</LinksUpToDate>
  <CharactersWithSpaces>15736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Drip Pricing and Price Disclosure in Canada — CSSA Member Guidance</dc:title>
  <dc:creator>Canadian Self Storage Association</dc:creator>
  <dc:description>CSSA member compliance white paper on drip pricing</dc:description>
  <cp:lastModifiedBy>Bliss Edwards</cp:lastModifiedBy>
  <cp:revision>2</cp:revision>
  <dcterms:created xsi:type="dcterms:W3CDTF">2026-07-22T15:37:00Z</dcterms:created>
  <dcterms:modified xsi:type="dcterms:W3CDTF">2026-08-21T20:51:00Z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b796045e-9071-4817-9f5c-cafc75adf332</vt:lpwstr>
  </property>
</Properties>
</file>